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F24882" w:rsidRPr="00E57CBD" w:rsidRDefault="00F24882" w:rsidP="00F2488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FA1525">
      <w:pPr>
        <w:pStyle w:val="a4"/>
        <w:ind w:firstLine="0"/>
        <w:jc w:val="center"/>
        <w:rPr>
          <w:b/>
          <w:szCs w:val="28"/>
        </w:rPr>
      </w:pPr>
      <w:r w:rsidRPr="00143B40">
        <w:rPr>
          <w:b/>
          <w:szCs w:val="28"/>
        </w:rPr>
        <w:t xml:space="preserve">по продаже </w:t>
      </w:r>
      <w:r w:rsidR="00FA1525">
        <w:rPr>
          <w:b/>
          <w:szCs w:val="28"/>
        </w:rPr>
        <w:t>здания</w:t>
      </w:r>
      <w:r w:rsidR="00FA1525" w:rsidRPr="00FA1525">
        <w:rPr>
          <w:b/>
          <w:szCs w:val="28"/>
        </w:rPr>
        <w:t xml:space="preserve"> трансформаторной подстанции ТП-267а, площадью 53,3 кв.м., расположенной по адресу: г. Калининград, у жилого дома № 52-58 по ул. Пионерской</w:t>
      </w:r>
    </w:p>
    <w:p w:rsidR="00E75535" w:rsidRPr="00E75535" w:rsidRDefault="00E75535" w:rsidP="00FA1525">
      <w:pPr>
        <w:pStyle w:val="a4"/>
        <w:ind w:firstLine="0"/>
        <w:jc w:val="center"/>
        <w:rPr>
          <w:i/>
        </w:rPr>
      </w:pPr>
      <w:r w:rsidRPr="00E75535">
        <w:rPr>
          <w:i/>
          <w:szCs w:val="28"/>
        </w:rPr>
        <w:t>(в редакции от 06.12.2016г.)</w:t>
      </w: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C01765" w:rsidRDefault="00C01765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E1222" w:rsidRDefault="007E1222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264F31" w:rsidRDefault="00264F31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264F31" w:rsidRDefault="00264F31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0A5235" w:rsidRDefault="000A5235" w:rsidP="00B45AB1">
      <w:pPr>
        <w:pStyle w:val="ac"/>
        <w:spacing w:line="276" w:lineRule="auto"/>
        <w:ind w:firstLine="0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E913A3">
        <w:rPr>
          <w:bCs/>
          <w:sz w:val="24"/>
        </w:rPr>
        <w:t>6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FA1525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каб.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на сайте </w:t>
      </w:r>
      <w:r w:rsidR="00E913A3" w:rsidRPr="007E1222">
        <w:rPr>
          <w:sz w:val="24"/>
          <w:szCs w:val="24"/>
        </w:rPr>
        <w:t>ПАО</w:t>
      </w:r>
      <w:r w:rsidRPr="007E1222">
        <w:rPr>
          <w:sz w:val="24"/>
          <w:szCs w:val="24"/>
        </w:rPr>
        <w:t xml:space="preserve"> </w:t>
      </w:r>
      <w:r w:rsidR="003B6CDF" w:rsidRPr="007E1222">
        <w:rPr>
          <w:sz w:val="24"/>
          <w:szCs w:val="24"/>
        </w:rPr>
        <w:t>«</w:t>
      </w:r>
      <w:r w:rsidRPr="007E1222">
        <w:rPr>
          <w:sz w:val="24"/>
          <w:szCs w:val="24"/>
        </w:rPr>
        <w:t>Россети</w:t>
      </w:r>
      <w:r w:rsidR="003B6CDF" w:rsidRPr="007E1222">
        <w:rPr>
          <w:sz w:val="24"/>
          <w:szCs w:val="24"/>
        </w:rPr>
        <w:t>»</w:t>
      </w:r>
      <w:r w:rsidR="00E46AE2" w:rsidRPr="007E1222">
        <w:rPr>
          <w:sz w:val="24"/>
          <w:szCs w:val="24"/>
        </w:rPr>
        <w:t xml:space="preserve">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Pr="00A935B8">
        <w:rPr>
          <w:sz w:val="24"/>
          <w:szCs w:val="24"/>
        </w:rPr>
        <w:t xml:space="preserve"> на право заключения Договор</w:t>
      </w:r>
      <w:r w:rsidR="00FA1525">
        <w:rPr>
          <w:sz w:val="24"/>
          <w:szCs w:val="24"/>
        </w:rPr>
        <w:t>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C06714">
        <w:rPr>
          <w:sz w:val="24"/>
          <w:szCs w:val="24"/>
        </w:rPr>
        <w:t xml:space="preserve">здания </w:t>
      </w:r>
      <w:r w:rsidR="00FA1525" w:rsidRPr="00FA1525">
        <w:rPr>
          <w:sz w:val="24"/>
          <w:szCs w:val="24"/>
        </w:rPr>
        <w:t xml:space="preserve">трансформаторной подстанции ТП-267а, площадью 53,3 кв.м., расположенной по адресу: г. Калининград, у жилого дома № 52-58 по ул. Пионерской. </w:t>
      </w:r>
    </w:p>
    <w:p w:rsidR="00C06714" w:rsidRPr="00E75535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</w:t>
      </w:r>
      <w:r w:rsidRPr="00E75535">
        <w:rPr>
          <w:i/>
          <w:sz w:val="24"/>
          <w:szCs w:val="24"/>
        </w:rPr>
        <w:t>:</w:t>
      </w:r>
      <w:r w:rsidR="00714AB2" w:rsidRPr="00E75535">
        <w:rPr>
          <w:i/>
          <w:sz w:val="24"/>
          <w:szCs w:val="24"/>
        </w:rPr>
        <w:t xml:space="preserve"> </w:t>
      </w:r>
      <w:r w:rsidR="00372241" w:rsidRPr="00E75535">
        <w:rPr>
          <w:i/>
          <w:sz w:val="24"/>
          <w:szCs w:val="24"/>
        </w:rPr>
        <w:t>464 000,00</w:t>
      </w:r>
      <w:r w:rsidR="00FA1525" w:rsidRPr="00E75535">
        <w:rPr>
          <w:i/>
          <w:sz w:val="24"/>
          <w:szCs w:val="24"/>
        </w:rPr>
        <w:t xml:space="preserve">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возвращаются  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932A70">
        <w:rPr>
          <w:sz w:val="24"/>
          <w:szCs w:val="24"/>
        </w:rPr>
        <w:t>Договора  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1527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>, Абаев  Александр Георгиевич</w:t>
      </w:r>
      <w:r w:rsidR="004A2E77">
        <w:rPr>
          <w:sz w:val="24"/>
          <w:szCs w:val="24"/>
        </w:rPr>
        <w:t xml:space="preserve"> тел. 537-075</w:t>
      </w:r>
      <w:r w:rsidR="00B1527F" w:rsidRPr="00B1527F">
        <w:rPr>
          <w:sz w:val="24"/>
          <w:szCs w:val="24"/>
        </w:rPr>
        <w:t>, по эл. почте:</w:t>
      </w:r>
      <w:r w:rsidR="00F666CB">
        <w:rPr>
          <w:sz w:val="24"/>
          <w:szCs w:val="24"/>
        </w:rPr>
        <w:t xml:space="preserve"> </w:t>
      </w:r>
      <w:hyperlink r:id="rId11" w:history="1">
        <w:r w:rsidR="00F666CB" w:rsidRPr="00F62B10">
          <w:rPr>
            <w:rStyle w:val="aa"/>
            <w:sz w:val="24"/>
            <w:szCs w:val="24"/>
          </w:rPr>
          <w:t>Abaev-AG@yantarenergo.ru</w:t>
        </w:r>
      </w:hyperlink>
      <w:r w:rsidR="00F666CB">
        <w:rPr>
          <w:sz w:val="24"/>
          <w:szCs w:val="24"/>
        </w:rPr>
        <w:t>.</w:t>
      </w:r>
    </w:p>
    <w:p w:rsidR="00F666CB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CF3817" w:rsidRDefault="00CF3817" w:rsidP="00B45AB1">
      <w:pPr>
        <w:pStyle w:val="21"/>
        <w:spacing w:line="276" w:lineRule="auto"/>
        <w:jc w:val="both"/>
        <w:rPr>
          <w:i/>
          <w:sz w:val="24"/>
        </w:rPr>
      </w:pPr>
      <w:r w:rsidRPr="00CF3817">
        <w:rPr>
          <w:i/>
          <w:sz w:val="24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нотариально заверенные копии учредительных документов;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бухгалтерский баланс (формы №1,2) на последнюю отчетную дату, заверенный организацией;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имущество;</w:t>
      </w:r>
    </w:p>
    <w:p w:rsidR="00712119" w:rsidRPr="00876AD3" w:rsidRDefault="00712119" w:rsidP="00790D1E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нотариально заверенная 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нотариально заверенное свидетельство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 xml:space="preserve"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*.pdf, формат: один файл – один документ). </w:t>
      </w:r>
    </w:p>
    <w:p w:rsidR="00040BBD" w:rsidRPr="0014018F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  <w:t xml:space="preserve">В срок </w:t>
      </w:r>
      <w:r w:rsidR="00D73895">
        <w:rPr>
          <w:sz w:val="24"/>
          <w:szCs w:val="24"/>
        </w:rPr>
        <w:t xml:space="preserve"> до </w:t>
      </w:r>
      <w:r w:rsidR="001B531A">
        <w:rPr>
          <w:sz w:val="24"/>
          <w:szCs w:val="24"/>
        </w:rPr>
        <w:t>16</w:t>
      </w:r>
      <w:r w:rsidR="00D73895" w:rsidRPr="00D73895">
        <w:rPr>
          <w:sz w:val="24"/>
          <w:szCs w:val="24"/>
        </w:rPr>
        <w:t>.12.2016 15:00</w:t>
      </w:r>
      <w:r w:rsidRPr="007F7DF1">
        <w:rPr>
          <w:sz w:val="24"/>
          <w:szCs w:val="24"/>
        </w:rPr>
        <w:t xml:space="preserve"> </w:t>
      </w:r>
      <w:r w:rsidR="004A2E77">
        <w:rPr>
          <w:sz w:val="24"/>
          <w:szCs w:val="24"/>
        </w:rPr>
        <w:t xml:space="preserve">(время Московское)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во 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5D3A0E">
        <w:rPr>
          <w:rFonts w:eastAsia="Calibri"/>
          <w:sz w:val="24"/>
        </w:rPr>
        <w:t>0,1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2978C9">
        <w:rPr>
          <w:sz w:val="24"/>
          <w:szCs w:val="24"/>
        </w:rPr>
        <w:t xml:space="preserve">и консолидации электросетевых активов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</w:t>
      </w:r>
      <w:bookmarkStart w:id="6" w:name="_GoBack"/>
      <w:bookmarkEnd w:id="6"/>
      <w:r>
        <w:rPr>
          <w:sz w:val="24"/>
          <w:szCs w:val="24"/>
        </w:rPr>
        <w:t xml:space="preserve">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>
        <w:rPr>
          <w:sz w:val="24"/>
          <w:szCs w:val="24"/>
        </w:rPr>
        <w:t xml:space="preserve"> после завершения торгов и </w:t>
      </w:r>
      <w:r w:rsidRPr="00DD4152">
        <w:rPr>
          <w:sz w:val="24"/>
          <w:szCs w:val="24"/>
        </w:rPr>
        <w:t>подписания п</w:t>
      </w:r>
      <w:r>
        <w:rPr>
          <w:sz w:val="24"/>
          <w:szCs w:val="24"/>
        </w:rPr>
        <w:t>ротокола о результатах аукциона</w:t>
      </w:r>
      <w:r w:rsidRPr="003560E5">
        <w:rPr>
          <w:sz w:val="24"/>
          <w:szCs w:val="24"/>
        </w:rPr>
        <w:t>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B72803">
        <w:rPr>
          <w:rFonts w:cs="Arial CYR"/>
          <w:b/>
          <w:sz w:val="24"/>
          <w:szCs w:val="24"/>
        </w:rPr>
        <w:t>Предмет аукциона:</w:t>
      </w: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1D6167">
        <w:rPr>
          <w:rFonts w:cs="Arial CYR"/>
          <w:b/>
          <w:sz w:val="24"/>
          <w:szCs w:val="24"/>
        </w:rPr>
        <w:t>Предмет аукциона: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1D6167">
        <w:rPr>
          <w:rFonts w:cs="Arial CYR"/>
          <w:sz w:val="24"/>
          <w:szCs w:val="24"/>
        </w:rPr>
        <w:t xml:space="preserve">Здание трансформаторной подстанции ТП-267а, площадью 53,3 кв.м., расположенной по адресу: г. Калининград, у жилого дома № 52-58 по ул. Пионерской. 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1D6167">
        <w:rPr>
          <w:rFonts w:cs="Arial CYR"/>
          <w:b/>
          <w:sz w:val="24"/>
          <w:szCs w:val="24"/>
        </w:rPr>
        <w:t>Начальная цена аукциона: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372241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464 000,00</w:t>
      </w:r>
      <w:r w:rsidR="0056421E">
        <w:rPr>
          <w:rFonts w:cs="Arial CYR"/>
          <w:sz w:val="24"/>
          <w:szCs w:val="24"/>
        </w:rPr>
        <w:t xml:space="preserve"> </w:t>
      </w:r>
      <w:r w:rsidR="001D6167" w:rsidRPr="001D6167">
        <w:rPr>
          <w:rFonts w:cs="Arial CYR"/>
          <w:sz w:val="24"/>
          <w:szCs w:val="24"/>
        </w:rPr>
        <w:t xml:space="preserve"> руб., без учета НДС 18%.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1D6167">
        <w:rPr>
          <w:rFonts w:cs="Arial CYR"/>
          <w:b/>
          <w:sz w:val="24"/>
          <w:szCs w:val="24"/>
        </w:rPr>
        <w:t xml:space="preserve">Шаг аукциона: 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Default="0056421E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56421E">
        <w:rPr>
          <w:rFonts w:cs="Arial CYR"/>
          <w:sz w:val="24"/>
          <w:szCs w:val="24"/>
        </w:rPr>
        <w:t xml:space="preserve">0,1 % от начальной цены – </w:t>
      </w:r>
      <w:r w:rsidR="00372241">
        <w:rPr>
          <w:rFonts w:cs="Arial CYR"/>
          <w:sz w:val="24"/>
          <w:szCs w:val="24"/>
        </w:rPr>
        <w:t>464,00</w:t>
      </w:r>
      <w:r w:rsidRPr="0056421E">
        <w:rPr>
          <w:rFonts w:cs="Arial CYR"/>
          <w:sz w:val="24"/>
          <w:szCs w:val="24"/>
        </w:rPr>
        <w:t xml:space="preserve"> руб.</w:t>
      </w:r>
    </w:p>
    <w:p w:rsidR="0056421E" w:rsidRPr="001D6167" w:rsidRDefault="0056421E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1D6167">
        <w:rPr>
          <w:rFonts w:cs="Arial CYR"/>
          <w:b/>
          <w:sz w:val="24"/>
          <w:szCs w:val="24"/>
        </w:rPr>
        <w:t xml:space="preserve">Размер задатка: 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1D6167">
        <w:rPr>
          <w:rFonts w:cs="Arial CYR"/>
          <w:sz w:val="24"/>
          <w:szCs w:val="24"/>
        </w:rPr>
        <w:t>нет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1D6167">
        <w:rPr>
          <w:rFonts w:cs="Arial CYR"/>
          <w:b/>
          <w:sz w:val="24"/>
          <w:szCs w:val="24"/>
        </w:rPr>
        <w:t>Условия оплаты:</w:t>
      </w: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D6167" w:rsidRP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1D6167">
        <w:rPr>
          <w:rFonts w:cs="Arial CYR"/>
          <w:sz w:val="24"/>
          <w:szCs w:val="24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1D6167" w:rsidRDefault="001D6167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67683C" w:rsidRPr="001D6167" w:rsidRDefault="0067683C" w:rsidP="001D616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Более подробно в Приложении № 1 «Техническое задание».</w:t>
      </w: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382681" w:rsidRDefault="00040BBD" w:rsidP="00917515">
      <w:pPr>
        <w:spacing w:line="276" w:lineRule="auto"/>
        <w:jc w:val="center"/>
        <w:rPr>
          <w:b/>
          <w:bCs/>
          <w:w w:val="93"/>
          <w:sz w:val="24"/>
          <w:szCs w:val="24"/>
        </w:rPr>
      </w:pP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См. файл «Проект договора».</w:t>
      </w:r>
    </w:p>
    <w:p w:rsidR="00040BBD" w:rsidRPr="00382681" w:rsidRDefault="00040BBD" w:rsidP="00917515">
      <w:pPr>
        <w:spacing w:line="276" w:lineRule="auto"/>
        <w:rPr>
          <w:b/>
          <w:sz w:val="24"/>
          <w:szCs w:val="24"/>
        </w:rPr>
      </w:pPr>
    </w:p>
    <w:p w:rsidR="00040BBD" w:rsidRDefault="00040BBD" w:rsidP="00EE6720">
      <w:pPr>
        <w:shd w:val="clear" w:color="auto" w:fill="FDE9D9" w:themeFill="accent6" w:themeFillTint="33"/>
        <w:rPr>
          <w:sz w:val="24"/>
          <w:szCs w:val="24"/>
        </w:rPr>
        <w:sectPr w:rsidR="00040BBD" w:rsidSect="00172ED7">
          <w:headerReference w:type="even" r:id="rId16"/>
          <w:headerReference w:type="default" r:id="rId17"/>
          <w:footerReference w:type="default" r:id="rId18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917515">
      <w:pPr>
        <w:jc w:val="both"/>
        <w:rPr>
          <w:w w:val="93"/>
          <w:sz w:val="24"/>
          <w:szCs w:val="24"/>
        </w:rPr>
      </w:pPr>
      <w:r w:rsidRPr="002303C8">
        <w:rPr>
          <w:sz w:val="24"/>
          <w:szCs w:val="24"/>
        </w:rPr>
        <w:t>«___» ________ 201</w:t>
      </w:r>
      <w:r w:rsidR="00E35683">
        <w:rPr>
          <w:sz w:val="24"/>
          <w:szCs w:val="24"/>
        </w:rPr>
        <w:t>6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Лот № ________</w:t>
      </w:r>
    </w:p>
    <w:p w:rsidR="00040BBD" w:rsidRPr="002303C8" w:rsidRDefault="00040BBD" w:rsidP="00917515">
      <w:pPr>
        <w:pStyle w:val="3"/>
        <w:ind w:firstLine="0"/>
        <w:jc w:val="both"/>
        <w:rPr>
          <w:b/>
          <w:bCs/>
          <w:sz w:val="24"/>
        </w:rPr>
      </w:pP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9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__</w:t>
      </w:r>
      <w:r w:rsidRPr="009014F9">
        <w:rPr>
          <w:i/>
          <w:sz w:val="24"/>
        </w:rPr>
        <w:t>(Ф.И.О.,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>. Корреспондентский счет:  _______________________________________________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«___» ________ 201</w:t>
      </w:r>
      <w:r w:rsidR="00E35683">
        <w:rPr>
          <w:szCs w:val="28"/>
        </w:rPr>
        <w:t>6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номер)   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Подпись доверенного лица  _______________________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lastRenderedPageBreak/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29" w:rsidRDefault="004E7D29" w:rsidP="00040BBD">
      <w:r>
        <w:separator/>
      </w:r>
    </w:p>
  </w:endnote>
  <w:endnote w:type="continuationSeparator" w:id="0">
    <w:p w:rsidR="004E7D29" w:rsidRDefault="004E7D29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29" w:rsidRDefault="004E7D29" w:rsidP="00040BBD">
      <w:r>
        <w:separator/>
      </w:r>
    </w:p>
  </w:footnote>
  <w:footnote w:type="continuationSeparator" w:id="0">
    <w:p w:rsidR="004E7D29" w:rsidRDefault="004E7D29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36B45"/>
    <w:rsid w:val="00143B40"/>
    <w:rsid w:val="00172ED7"/>
    <w:rsid w:val="001867F4"/>
    <w:rsid w:val="001B531A"/>
    <w:rsid w:val="001C5932"/>
    <w:rsid w:val="001D4156"/>
    <w:rsid w:val="001D6167"/>
    <w:rsid w:val="00205C77"/>
    <w:rsid w:val="00212F1B"/>
    <w:rsid w:val="00214EAC"/>
    <w:rsid w:val="002306C8"/>
    <w:rsid w:val="002327A5"/>
    <w:rsid w:val="00264F31"/>
    <w:rsid w:val="002774B2"/>
    <w:rsid w:val="00283A2A"/>
    <w:rsid w:val="002978C9"/>
    <w:rsid w:val="002A5EBE"/>
    <w:rsid w:val="002E5627"/>
    <w:rsid w:val="00317BC9"/>
    <w:rsid w:val="003271ED"/>
    <w:rsid w:val="003328A0"/>
    <w:rsid w:val="00333D11"/>
    <w:rsid w:val="00372241"/>
    <w:rsid w:val="0038518F"/>
    <w:rsid w:val="003A0390"/>
    <w:rsid w:val="003B2D47"/>
    <w:rsid w:val="003B6CDF"/>
    <w:rsid w:val="003C3421"/>
    <w:rsid w:val="003F7151"/>
    <w:rsid w:val="00402ACB"/>
    <w:rsid w:val="004061BE"/>
    <w:rsid w:val="00416CB5"/>
    <w:rsid w:val="00420235"/>
    <w:rsid w:val="004226BD"/>
    <w:rsid w:val="004404CC"/>
    <w:rsid w:val="0044637D"/>
    <w:rsid w:val="004635D1"/>
    <w:rsid w:val="00492583"/>
    <w:rsid w:val="004A2E77"/>
    <w:rsid w:val="004C27C9"/>
    <w:rsid w:val="004E0ACB"/>
    <w:rsid w:val="004E7D29"/>
    <w:rsid w:val="004F0399"/>
    <w:rsid w:val="004F22DA"/>
    <w:rsid w:val="00506BCC"/>
    <w:rsid w:val="00523FC4"/>
    <w:rsid w:val="0054799B"/>
    <w:rsid w:val="0056421E"/>
    <w:rsid w:val="00564CAE"/>
    <w:rsid w:val="0057408E"/>
    <w:rsid w:val="00577CD3"/>
    <w:rsid w:val="00594ACB"/>
    <w:rsid w:val="005B1888"/>
    <w:rsid w:val="005B2017"/>
    <w:rsid w:val="005B7339"/>
    <w:rsid w:val="005D37CB"/>
    <w:rsid w:val="005D3A0E"/>
    <w:rsid w:val="005D6A4A"/>
    <w:rsid w:val="00606685"/>
    <w:rsid w:val="006238B5"/>
    <w:rsid w:val="006377ED"/>
    <w:rsid w:val="006430FE"/>
    <w:rsid w:val="00660F0E"/>
    <w:rsid w:val="006621FC"/>
    <w:rsid w:val="00674C2C"/>
    <w:rsid w:val="0067683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0F54"/>
    <w:rsid w:val="00754138"/>
    <w:rsid w:val="0076349F"/>
    <w:rsid w:val="00775436"/>
    <w:rsid w:val="007840C0"/>
    <w:rsid w:val="00784347"/>
    <w:rsid w:val="00786006"/>
    <w:rsid w:val="00790D1E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3C8E"/>
    <w:rsid w:val="008E75A2"/>
    <w:rsid w:val="00901176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1765"/>
    <w:rsid w:val="00C03D77"/>
    <w:rsid w:val="00C06714"/>
    <w:rsid w:val="00C07911"/>
    <w:rsid w:val="00C344F9"/>
    <w:rsid w:val="00C60D5C"/>
    <w:rsid w:val="00C63DD8"/>
    <w:rsid w:val="00C73546"/>
    <w:rsid w:val="00C95836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75535"/>
    <w:rsid w:val="00E9045E"/>
    <w:rsid w:val="00E913A3"/>
    <w:rsid w:val="00EB1745"/>
    <w:rsid w:val="00EC5F65"/>
    <w:rsid w:val="00EE6720"/>
    <w:rsid w:val="00F02CD6"/>
    <w:rsid w:val="00F24882"/>
    <w:rsid w:val="00F256B8"/>
    <w:rsid w:val="00F263E0"/>
    <w:rsid w:val="00F41F56"/>
    <w:rsid w:val="00F57E3B"/>
    <w:rsid w:val="00F601D0"/>
    <w:rsid w:val="00F666CB"/>
    <w:rsid w:val="00F730A9"/>
    <w:rsid w:val="00FA1525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ev-AG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12E6-DA7D-4996-A2CF-21B6E731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44</cp:revision>
  <cp:lastPrinted>2016-11-23T08:42:00Z</cp:lastPrinted>
  <dcterms:created xsi:type="dcterms:W3CDTF">2016-11-23T08:12:00Z</dcterms:created>
  <dcterms:modified xsi:type="dcterms:W3CDTF">2016-12-06T14:23:00Z</dcterms:modified>
</cp:coreProperties>
</file>