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AB4209" w:rsidP="006909F9">
      <w:pPr>
        <w:jc w:val="center"/>
        <w:rPr>
          <w:rFonts w:eastAsiaTheme="minorHAnsi"/>
          <w:b/>
          <w:bCs/>
          <w:sz w:val="28"/>
          <w:szCs w:val="28"/>
          <w:lang w:eastAsia="en-US"/>
        </w:rPr>
      </w:pPr>
      <w:r>
        <w:rPr>
          <w:rFonts w:eastAsiaTheme="minorHAnsi"/>
          <w:b/>
          <w:bCs/>
          <w:sz w:val="28"/>
          <w:szCs w:val="28"/>
          <w:lang w:eastAsia="en-US"/>
        </w:rPr>
        <w:t>25</w:t>
      </w:r>
      <w:r w:rsidR="006909F9" w:rsidRPr="0088629E">
        <w:rPr>
          <w:rFonts w:eastAsiaTheme="minorHAnsi"/>
          <w:b/>
          <w:bCs/>
          <w:sz w:val="28"/>
          <w:szCs w:val="28"/>
          <w:lang w:eastAsia="en-US"/>
        </w:rPr>
        <w:t>.</w:t>
      </w:r>
      <w:r w:rsidR="00472C77">
        <w:rPr>
          <w:rFonts w:eastAsiaTheme="minorHAnsi"/>
          <w:b/>
          <w:bCs/>
          <w:sz w:val="28"/>
          <w:szCs w:val="28"/>
          <w:lang w:eastAsia="en-US"/>
        </w:rPr>
        <w:t>0</w:t>
      </w:r>
      <w:r w:rsidR="00952F22">
        <w:rPr>
          <w:rFonts w:eastAsiaTheme="minorHAnsi"/>
          <w:b/>
          <w:bCs/>
          <w:sz w:val="28"/>
          <w:szCs w:val="28"/>
          <w:lang w:eastAsia="en-US"/>
        </w:rPr>
        <w:t>9</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2</w:t>
      </w:r>
      <w:r w:rsidR="008F2DE6">
        <w:rPr>
          <w:rFonts w:eastAsiaTheme="minorHAnsi"/>
          <w:b/>
          <w:bCs/>
          <w:sz w:val="28"/>
          <w:szCs w:val="28"/>
          <w:lang w:eastAsia="en-US"/>
        </w:rPr>
        <w:t>1</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01504A" w:rsidRDefault="0001504A" w:rsidP="0001504A">
      <w:pPr>
        <w:pStyle w:val="21"/>
        <w:widowControl w:val="0"/>
        <w:numPr>
          <w:ilvl w:val="0"/>
          <w:numId w:val="14"/>
        </w:numPr>
        <w:spacing w:after="0" w:line="240" w:lineRule="auto"/>
        <w:jc w:val="both"/>
        <w:rPr>
          <w:color w:val="000000"/>
          <w:sz w:val="28"/>
          <w:szCs w:val="28"/>
        </w:rPr>
      </w:pPr>
      <w:r w:rsidRPr="008C2E2D">
        <w:rPr>
          <w:sz w:val="28"/>
          <w:szCs w:val="28"/>
        </w:rPr>
        <w:t>О составе Комитетов Совета директоров Общества.</w:t>
      </w:r>
    </w:p>
    <w:p w:rsidR="00F67EE0" w:rsidRPr="00906299" w:rsidRDefault="00F67EE0" w:rsidP="00F67EE0">
      <w:pPr>
        <w:pStyle w:val="21"/>
        <w:widowControl w:val="0"/>
        <w:spacing w:after="0" w:line="240" w:lineRule="auto"/>
        <w:ind w:left="720"/>
        <w:jc w:val="both"/>
        <w:rPr>
          <w:rFonts w:ascii="Times New Roman" w:eastAsiaTheme="minorHAnsi" w:hAnsi="Times New Roman"/>
          <w:sz w:val="28"/>
          <w:szCs w:val="28"/>
        </w:rPr>
      </w:pPr>
    </w:p>
    <w:p w:rsidR="0001504A" w:rsidRDefault="008E5ECB" w:rsidP="0001504A">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01504A" w:rsidRPr="008C2E2D">
        <w:rPr>
          <w:sz w:val="28"/>
          <w:szCs w:val="28"/>
        </w:rPr>
        <w:t>О составе Комитетов Совета директоров Общества.</w:t>
      </w:r>
    </w:p>
    <w:p w:rsidR="00D134AD" w:rsidRPr="004A7A1E" w:rsidRDefault="00D134AD" w:rsidP="00D134AD">
      <w:pPr>
        <w:pStyle w:val="21"/>
        <w:widowControl w:val="0"/>
        <w:spacing w:after="0" w:line="240" w:lineRule="auto"/>
        <w:ind w:left="0"/>
        <w:jc w:val="both"/>
        <w:rPr>
          <w:bCs/>
          <w:sz w:val="28"/>
          <w:szCs w:val="28"/>
        </w:rPr>
      </w:pPr>
    </w:p>
    <w:p w:rsidR="00D134AD" w:rsidRDefault="008E5ECB" w:rsidP="00D134AD">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01504A" w:rsidRPr="008C2E2D">
        <w:rPr>
          <w:sz w:val="28"/>
          <w:szCs w:val="28"/>
        </w:rPr>
        <w:t xml:space="preserve">Определить </w:t>
      </w:r>
      <w:r w:rsidR="0001504A">
        <w:rPr>
          <w:sz w:val="28"/>
          <w:szCs w:val="28"/>
        </w:rPr>
        <w:t xml:space="preserve">количественные составы, избрать персональные составы и Председателей Комитетов Совета директоров АО «Янтарьэнерго» согласно </w:t>
      </w:r>
      <w:proofErr w:type="gramStart"/>
      <w:r w:rsidR="0001504A">
        <w:rPr>
          <w:sz w:val="28"/>
          <w:szCs w:val="28"/>
        </w:rPr>
        <w:t>приложению</w:t>
      </w:r>
      <w:proofErr w:type="gramEnd"/>
      <w:r w:rsidR="0001504A">
        <w:rPr>
          <w:sz w:val="28"/>
          <w:szCs w:val="28"/>
        </w:rPr>
        <w:t xml:space="preserve"> к настоящему решению Совета директоров Общества.</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AB4209"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AB4209"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F146A4"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146A4">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146A4">
        <w:rPr>
          <w:rFonts w:ascii="Times New Roman" w:eastAsia="Calibri" w:hAnsi="Times New Roman" w:cs="Times New Roman"/>
          <w:b/>
          <w:bCs/>
          <w:color w:val="000000"/>
          <w:kern w:val="0"/>
          <w:sz w:val="28"/>
          <w:szCs w:val="28"/>
          <w:lang w:eastAsia="ru-RU" w:bidi="ar-SA"/>
        </w:rPr>
        <w:t>я:</w:t>
      </w:r>
    </w:p>
    <w:p w:rsidR="001457D7" w:rsidRDefault="00757904" w:rsidP="0001504A">
      <w:pPr>
        <w:widowControl w:val="0"/>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о вопросу № 1 повестки дня:</w:t>
      </w:r>
      <w:r w:rsidR="0001504A" w:rsidRPr="0001504A">
        <w:rPr>
          <w:sz w:val="28"/>
          <w:szCs w:val="28"/>
        </w:rPr>
        <w:t xml:space="preserve"> </w:t>
      </w:r>
      <w:r w:rsidR="0001504A" w:rsidRPr="008C2E2D">
        <w:rPr>
          <w:sz w:val="28"/>
          <w:szCs w:val="28"/>
        </w:rPr>
        <w:t xml:space="preserve">Определить </w:t>
      </w:r>
      <w:r w:rsidR="0001504A">
        <w:rPr>
          <w:sz w:val="28"/>
          <w:szCs w:val="28"/>
        </w:rPr>
        <w:t xml:space="preserve">количественные составы, избрать персональные составы и Председателей Комитетов Совета директоров АО «Янтарьэнерго» согласно </w:t>
      </w:r>
      <w:proofErr w:type="gramStart"/>
      <w:r w:rsidR="0001504A">
        <w:rPr>
          <w:sz w:val="28"/>
          <w:szCs w:val="28"/>
        </w:rPr>
        <w:t>приложению</w:t>
      </w:r>
      <w:proofErr w:type="gramEnd"/>
      <w:r w:rsidR="0001504A">
        <w:rPr>
          <w:sz w:val="28"/>
          <w:szCs w:val="28"/>
        </w:rPr>
        <w:t xml:space="preserve"> к настоящему решению Совета директоров Общества.</w:t>
      </w:r>
      <w:r w:rsidR="00893CA7" w:rsidRPr="005F79EA">
        <w:rPr>
          <w:rFonts w:ascii="Times New Roman" w:eastAsia="Calibri" w:hAnsi="Times New Roman" w:cs="Times New Roman"/>
          <w:b/>
          <w:bCs/>
          <w:color w:val="000000"/>
          <w:kern w:val="0"/>
          <w:sz w:val="28"/>
          <w:szCs w:val="28"/>
          <w:lang w:eastAsia="ru-RU" w:bidi="ar-SA"/>
        </w:rPr>
        <w:t xml:space="preserve"> </w:t>
      </w:r>
    </w:p>
    <w:p w:rsidR="008561F9" w:rsidRDefault="008561F9" w:rsidP="008561F9">
      <w:pPr>
        <w:widowControl w:val="0"/>
        <w:tabs>
          <w:tab w:val="left" w:pos="2977"/>
        </w:tabs>
        <w:ind w:firstLine="709"/>
        <w:jc w:val="both"/>
        <w:rPr>
          <w:bCs/>
          <w:sz w:val="28"/>
          <w:szCs w:val="28"/>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AB4209">
        <w:rPr>
          <w:rFonts w:eastAsiaTheme="minorHAnsi"/>
          <w:bCs/>
          <w:color w:val="000000"/>
          <w:sz w:val="28"/>
          <w:szCs w:val="28"/>
          <w:lang w:eastAsia="en-US"/>
        </w:rPr>
        <w:t xml:space="preserve">25 </w:t>
      </w:r>
      <w:r w:rsidR="000A0788">
        <w:rPr>
          <w:rFonts w:eastAsiaTheme="minorHAnsi"/>
          <w:bCs/>
          <w:color w:val="000000"/>
          <w:sz w:val="28"/>
          <w:szCs w:val="28"/>
          <w:lang w:eastAsia="en-US"/>
        </w:rPr>
        <w:t>сентября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403327" w:rsidRDefault="00403327" w:rsidP="008E5ECB">
      <w:pPr>
        <w:jc w:val="both"/>
        <w:rPr>
          <w:rFonts w:eastAsiaTheme="minorHAnsi"/>
          <w:sz w:val="28"/>
          <w:szCs w:val="28"/>
          <w:lang w:eastAsia="en-US"/>
        </w:rPr>
      </w:pPr>
      <w:bookmarkStart w:id="0" w:name="_GoBack"/>
      <w:bookmarkEnd w:id="0"/>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2E5" w:rsidRDefault="006A02E5" w:rsidP="00DC7A02">
      <w:r>
        <w:separator/>
      </w:r>
    </w:p>
  </w:endnote>
  <w:endnote w:type="continuationSeparator" w:id="0">
    <w:p w:rsidR="006A02E5" w:rsidRDefault="006A02E5"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2E5" w:rsidRDefault="006A02E5" w:rsidP="00DC7A02">
      <w:r>
        <w:separator/>
      </w:r>
    </w:p>
  </w:footnote>
  <w:footnote w:type="continuationSeparator" w:id="0">
    <w:p w:rsidR="006A02E5" w:rsidRDefault="006A02E5"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0"/>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E14D9"/>
    <w:rsid w:val="004F5471"/>
    <w:rsid w:val="004F77AA"/>
    <w:rsid w:val="00501E6A"/>
    <w:rsid w:val="00526433"/>
    <w:rsid w:val="005270F2"/>
    <w:rsid w:val="00534637"/>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A02E5"/>
    <w:rsid w:val="006D1EF9"/>
    <w:rsid w:val="006D7078"/>
    <w:rsid w:val="006F0A6E"/>
    <w:rsid w:val="006F4387"/>
    <w:rsid w:val="007248C4"/>
    <w:rsid w:val="00732C85"/>
    <w:rsid w:val="00744DE2"/>
    <w:rsid w:val="00757904"/>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5207B"/>
    <w:rsid w:val="00A63CC8"/>
    <w:rsid w:val="00A80413"/>
    <w:rsid w:val="00A809D1"/>
    <w:rsid w:val="00A814AA"/>
    <w:rsid w:val="00AA2716"/>
    <w:rsid w:val="00AA6C75"/>
    <w:rsid w:val="00AB0A50"/>
    <w:rsid w:val="00AB41E4"/>
    <w:rsid w:val="00AB4209"/>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75830"/>
    <w:rsid w:val="00C81D6B"/>
    <w:rsid w:val="00C94EA8"/>
    <w:rsid w:val="00CB7A88"/>
    <w:rsid w:val="00CC0D07"/>
    <w:rsid w:val="00CC0D92"/>
    <w:rsid w:val="00CE17A7"/>
    <w:rsid w:val="00CF4A5B"/>
    <w:rsid w:val="00D00561"/>
    <w:rsid w:val="00D0742B"/>
    <w:rsid w:val="00D134AD"/>
    <w:rsid w:val="00D506A9"/>
    <w:rsid w:val="00D50BB4"/>
    <w:rsid w:val="00D55407"/>
    <w:rsid w:val="00D80C87"/>
    <w:rsid w:val="00DA0FBA"/>
    <w:rsid w:val="00DB543A"/>
    <w:rsid w:val="00DC63FC"/>
    <w:rsid w:val="00DC7A02"/>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57C6"/>
    <w:rsid w:val="00F06506"/>
    <w:rsid w:val="00F146A4"/>
    <w:rsid w:val="00F24CC4"/>
    <w:rsid w:val="00F3421E"/>
    <w:rsid w:val="00F348FE"/>
    <w:rsid w:val="00F4564B"/>
    <w:rsid w:val="00F61A5E"/>
    <w:rsid w:val="00F639DE"/>
    <w:rsid w:val="00F667B4"/>
    <w:rsid w:val="00F67EE0"/>
    <w:rsid w:val="00F91D90"/>
    <w:rsid w:val="00F937D9"/>
    <w:rsid w:val="00F93D75"/>
    <w:rsid w:val="00FB683E"/>
    <w:rsid w:val="00FC69CB"/>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0572-49E5-4265-98E4-A64F0435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40</cp:revision>
  <cp:lastPrinted>2020-08-27T15:40:00Z</cp:lastPrinted>
  <dcterms:created xsi:type="dcterms:W3CDTF">2020-07-30T09:27:00Z</dcterms:created>
  <dcterms:modified xsi:type="dcterms:W3CDTF">2020-09-24T12:34:00Z</dcterms:modified>
  <dc:language>ru-RU</dc:language>
</cp:coreProperties>
</file>