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4A6DC0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0</w:t>
      </w:r>
      <w:r w:rsidR="00F71C9E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A313A5">
        <w:rPr>
          <w:rFonts w:eastAsiaTheme="minorHAnsi"/>
          <w:b/>
          <w:bCs/>
          <w:sz w:val="28"/>
          <w:szCs w:val="28"/>
          <w:lang w:eastAsia="en-US"/>
        </w:rPr>
        <w:t>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7F6E68">
        <w:rPr>
          <w:sz w:val="28"/>
          <w:szCs w:val="28"/>
        </w:rPr>
        <w:t>Маковский И.В.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FE2F3A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70130D" w:rsidRPr="00FE2F3A">
        <w:rPr>
          <w:rFonts w:eastAsiaTheme="minorHAnsi"/>
          <w:sz w:val="28"/>
          <w:szCs w:val="28"/>
          <w:lang w:eastAsia="en-US"/>
        </w:rPr>
        <w:t>Маковский И. В.,</w:t>
      </w:r>
      <w:r w:rsidR="0070130D" w:rsidRPr="00FE2F3A">
        <w:t xml:space="preserve"> </w:t>
      </w:r>
      <w:r w:rsidR="00155F5D" w:rsidRPr="00FE2F3A">
        <w:rPr>
          <w:sz w:val="28"/>
          <w:szCs w:val="28"/>
        </w:rPr>
        <w:t>Бычко М.А.,</w:t>
      </w:r>
      <w:r w:rsidR="002734B4">
        <w:rPr>
          <w:sz w:val="28"/>
          <w:szCs w:val="28"/>
        </w:rPr>
        <w:t xml:space="preserve"> </w:t>
      </w:r>
      <w:r w:rsidR="008129CF" w:rsidRPr="00FE2F3A">
        <w:rPr>
          <w:rFonts w:eastAsiaTheme="minorHAnsi"/>
          <w:sz w:val="28"/>
          <w:szCs w:val="28"/>
          <w:lang w:eastAsia="en-US"/>
        </w:rPr>
        <w:t>Колесников М.А</w:t>
      </w:r>
      <w:r w:rsidR="008129CF">
        <w:rPr>
          <w:rFonts w:eastAsiaTheme="minorHAnsi"/>
          <w:sz w:val="28"/>
          <w:szCs w:val="28"/>
          <w:lang w:eastAsia="en-US"/>
        </w:rPr>
        <w:t>,</w:t>
      </w:r>
      <w:r w:rsidR="00155F5D" w:rsidRPr="00FE2F3A">
        <w:rPr>
          <w:rFonts w:eastAsiaTheme="minorHAnsi"/>
          <w:sz w:val="28"/>
          <w:szCs w:val="28"/>
          <w:lang w:eastAsia="en-US"/>
        </w:rPr>
        <w:t xml:space="preserve"> </w:t>
      </w:r>
      <w:r w:rsidR="00D13CC8" w:rsidRPr="00FE2F3A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70130D" w:rsidRPr="00FE2F3A">
        <w:rPr>
          <w:sz w:val="28"/>
          <w:szCs w:val="28"/>
        </w:rPr>
        <w:t>Ольхович Е.А.,</w:t>
      </w:r>
      <w:r w:rsidR="0070130D">
        <w:rPr>
          <w:sz w:val="28"/>
          <w:szCs w:val="28"/>
        </w:rPr>
        <w:t xml:space="preserve"> </w:t>
      </w:r>
      <w:r w:rsidR="00925668" w:rsidRPr="00FE2F3A">
        <w:rPr>
          <w:rFonts w:eastAsiaTheme="minorHAnsi"/>
          <w:sz w:val="28"/>
          <w:szCs w:val="28"/>
          <w:lang w:eastAsia="en-US"/>
        </w:rPr>
        <w:t xml:space="preserve">Павлов А.И., </w:t>
      </w:r>
      <w:r w:rsidR="0073633E" w:rsidRPr="00FE2F3A">
        <w:rPr>
          <w:rFonts w:eastAsiaTheme="minorHAnsi"/>
          <w:sz w:val="28"/>
          <w:szCs w:val="28"/>
          <w:lang w:eastAsia="en-US"/>
        </w:rPr>
        <w:t>Парамонова Н.В.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81FA9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F1072" w:rsidRPr="00763543" w:rsidRDefault="00BF1072" w:rsidP="00BF1072">
      <w:pPr>
        <w:numPr>
          <w:ilvl w:val="0"/>
          <w:numId w:val="30"/>
        </w:numPr>
        <w:jc w:val="both"/>
        <w:rPr>
          <w:bCs/>
          <w:iCs/>
          <w:sz w:val="28"/>
          <w:szCs w:val="28"/>
          <w:lang w:eastAsia="en-US"/>
        </w:rPr>
      </w:pPr>
      <w:r w:rsidRPr="00763543">
        <w:rPr>
          <w:sz w:val="28"/>
          <w:szCs w:val="28"/>
        </w:rPr>
        <w:t>О рассмотрении Отчета об исполнении инвестиционной программы                           АО «Янтарьэнерго».</w:t>
      </w:r>
    </w:p>
    <w:p w:rsidR="00BF1072" w:rsidRPr="00763543" w:rsidRDefault="00BF1072" w:rsidP="00BF1072">
      <w:pPr>
        <w:numPr>
          <w:ilvl w:val="0"/>
          <w:numId w:val="30"/>
        </w:numPr>
        <w:jc w:val="both"/>
        <w:rPr>
          <w:bCs/>
          <w:iCs/>
          <w:sz w:val="28"/>
          <w:szCs w:val="28"/>
          <w:lang w:eastAsia="en-US"/>
        </w:rPr>
      </w:pPr>
      <w:r w:rsidRPr="00763543">
        <w:rPr>
          <w:bCs/>
          <w:iCs/>
          <w:sz w:val="28"/>
          <w:szCs w:val="28"/>
          <w:lang w:eastAsia="en-US"/>
        </w:rPr>
        <w:t>О рассмотрении Отче</w:t>
      </w:r>
      <w:r>
        <w:rPr>
          <w:bCs/>
          <w:iCs/>
          <w:sz w:val="28"/>
          <w:szCs w:val="28"/>
          <w:lang w:eastAsia="en-US"/>
        </w:rPr>
        <w:t xml:space="preserve">та об исполнении Бизнес – плана                                       </w:t>
      </w:r>
      <w:r w:rsidRPr="00763543">
        <w:rPr>
          <w:bCs/>
          <w:iCs/>
          <w:sz w:val="28"/>
          <w:szCs w:val="28"/>
          <w:lang w:eastAsia="en-US"/>
        </w:rPr>
        <w:t>АО «Янтарьэнерго» за 1 квартал 2018 года.</w:t>
      </w:r>
    </w:p>
    <w:p w:rsidR="00BF1072" w:rsidRPr="00763543" w:rsidRDefault="00BF1072" w:rsidP="00BF1072">
      <w:pPr>
        <w:numPr>
          <w:ilvl w:val="0"/>
          <w:numId w:val="30"/>
        </w:numPr>
        <w:jc w:val="both"/>
        <w:rPr>
          <w:bCs/>
          <w:iCs/>
          <w:sz w:val="28"/>
          <w:szCs w:val="28"/>
          <w:lang w:eastAsia="en-US"/>
        </w:rPr>
      </w:pPr>
      <w:r w:rsidRPr="00763543">
        <w:rPr>
          <w:bCs/>
          <w:iCs/>
          <w:sz w:val="28"/>
          <w:szCs w:val="28"/>
          <w:lang w:eastAsia="en-US"/>
        </w:rPr>
        <w:t xml:space="preserve">О рассмотрении отчета об исполнении Сводного по РСБУ и Консолидированного на принципах МСФО бизнес-плана по Группе </w:t>
      </w:r>
      <w:r>
        <w:rPr>
          <w:bCs/>
          <w:iCs/>
          <w:sz w:val="28"/>
          <w:szCs w:val="28"/>
          <w:lang w:eastAsia="en-US"/>
        </w:rPr>
        <w:t xml:space="preserve">                </w:t>
      </w:r>
      <w:r w:rsidRPr="00763543">
        <w:rPr>
          <w:bCs/>
          <w:iCs/>
          <w:sz w:val="28"/>
          <w:szCs w:val="28"/>
          <w:lang w:eastAsia="en-US"/>
        </w:rPr>
        <w:t>АО «Янтарьэнерго» за 1 квартал 2018 года.</w:t>
      </w:r>
    </w:p>
    <w:p w:rsidR="00BF1072" w:rsidRPr="00763543" w:rsidRDefault="00BF1072" w:rsidP="00BF1072">
      <w:pPr>
        <w:numPr>
          <w:ilvl w:val="0"/>
          <w:numId w:val="30"/>
        </w:numPr>
        <w:jc w:val="both"/>
        <w:rPr>
          <w:bCs/>
          <w:iCs/>
          <w:sz w:val="28"/>
          <w:szCs w:val="28"/>
          <w:lang w:eastAsia="en-US"/>
        </w:rPr>
      </w:pPr>
      <w:r w:rsidRPr="00763543">
        <w:rPr>
          <w:bCs/>
          <w:iCs/>
          <w:sz w:val="28"/>
          <w:szCs w:val="28"/>
          <w:lang w:eastAsia="en-US"/>
        </w:rPr>
        <w:t>Об утверждении Плана-графика мероприятий АО «Янтарьэнерго» по снижению просроченной дебиторской задолженности за услуги по передаче электроэнергии и урегулированию разногласий, сложившихся на 01.07.2018 года.</w:t>
      </w:r>
    </w:p>
    <w:p w:rsidR="004101CA" w:rsidRPr="00BF1072" w:rsidRDefault="00BF1072" w:rsidP="00BF1072">
      <w:pPr>
        <w:pStyle w:val="a7"/>
        <w:numPr>
          <w:ilvl w:val="0"/>
          <w:numId w:val="30"/>
        </w:numPr>
        <w:shd w:val="clear" w:color="auto" w:fill="FFFFFF"/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BF1072">
        <w:rPr>
          <w:bCs/>
          <w:iCs/>
          <w:sz w:val="28"/>
          <w:szCs w:val="28"/>
          <w:lang w:eastAsia="en-US"/>
        </w:rPr>
        <w:t>Об утверждении Отчета о выполнении годовых ключевых показателей эффективности (КПЭ) генерального директора Общества за 2017 год.</w:t>
      </w:r>
    </w:p>
    <w:p w:rsidR="00BF1072" w:rsidRPr="00BF1072" w:rsidRDefault="00BF1072" w:rsidP="00BF1072">
      <w:pPr>
        <w:pStyle w:val="a7"/>
        <w:numPr>
          <w:ilvl w:val="0"/>
          <w:numId w:val="30"/>
        </w:numPr>
        <w:shd w:val="clear" w:color="auto" w:fill="FFFFFF"/>
        <w:spacing w:after="120"/>
        <w:jc w:val="both"/>
        <w:rPr>
          <w:rFonts w:eastAsiaTheme="minorHAnsi"/>
          <w:sz w:val="28"/>
          <w:szCs w:val="28"/>
          <w:lang w:eastAsia="en-US"/>
        </w:rPr>
      </w:pPr>
      <w:r w:rsidRPr="008B2E03">
        <w:rPr>
          <w:sz w:val="28"/>
          <w:szCs w:val="28"/>
        </w:rPr>
        <w:t>О внесении изменений в решение Совета директоров Общества от 18.09.2018 (протокол № 6) по вопросу № 4.</w:t>
      </w:r>
    </w:p>
    <w:p w:rsidR="00BF1072" w:rsidRDefault="00BF1072" w:rsidP="00992831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A5029" w:rsidRDefault="0088629E" w:rsidP="00992831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BF1072" w:rsidRPr="00BF1072">
        <w:rPr>
          <w:sz w:val="28"/>
          <w:szCs w:val="28"/>
        </w:rPr>
        <w:t>О рассмотрении Отчета об исполнении инвестиционной программы АО «Янтарьэнерго».</w:t>
      </w:r>
    </w:p>
    <w:p w:rsidR="003729B9" w:rsidRPr="00282FEB" w:rsidRDefault="003729B9" w:rsidP="00992831">
      <w:pPr>
        <w:shd w:val="clear" w:color="auto" w:fill="FFFFFF"/>
        <w:jc w:val="both"/>
        <w:rPr>
          <w:b/>
          <w:sz w:val="28"/>
          <w:szCs w:val="28"/>
        </w:rPr>
      </w:pPr>
    </w:p>
    <w:p w:rsidR="00BF1072" w:rsidRDefault="00BB215F" w:rsidP="00992831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BF1072" w:rsidRPr="00BF1072" w:rsidRDefault="00BF1072" w:rsidP="00992831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x-none" w:eastAsia="x-none"/>
        </w:rPr>
      </w:pPr>
      <w:r w:rsidRPr="00BF1072">
        <w:rPr>
          <w:bCs/>
          <w:sz w:val="28"/>
          <w:szCs w:val="28"/>
          <w:lang w:eastAsia="x-none"/>
        </w:rPr>
        <w:t>Принять к сведению</w:t>
      </w:r>
      <w:r w:rsidRPr="00BF1072">
        <w:rPr>
          <w:bCs/>
          <w:sz w:val="28"/>
          <w:szCs w:val="28"/>
          <w:lang w:val="x-none" w:eastAsia="x-none"/>
        </w:rPr>
        <w:t xml:space="preserve"> отчет </w:t>
      </w:r>
      <w:r w:rsidRPr="00BF1072">
        <w:rPr>
          <w:bCs/>
          <w:sz w:val="28"/>
          <w:szCs w:val="28"/>
          <w:lang w:eastAsia="x-none"/>
        </w:rPr>
        <w:t xml:space="preserve">Генерального директора Общества об </w:t>
      </w:r>
      <w:r w:rsidRPr="00BF1072">
        <w:rPr>
          <w:bCs/>
          <w:sz w:val="28"/>
          <w:szCs w:val="28"/>
          <w:lang w:eastAsia="x-none"/>
        </w:rPr>
        <w:lastRenderedPageBreak/>
        <w:t xml:space="preserve">исполнении </w:t>
      </w:r>
      <w:r w:rsidRPr="00BF1072">
        <w:rPr>
          <w:bCs/>
          <w:sz w:val="28"/>
          <w:szCs w:val="28"/>
          <w:lang w:val="x-none" w:eastAsia="x-none"/>
        </w:rPr>
        <w:t>инвестиционной программы Общества</w:t>
      </w:r>
      <w:r w:rsidRPr="00BF1072">
        <w:rPr>
          <w:bCs/>
          <w:sz w:val="28"/>
          <w:szCs w:val="28"/>
          <w:lang w:eastAsia="x-none"/>
        </w:rPr>
        <w:t xml:space="preserve"> за 4 квартал 2017 года и 2017 год</w:t>
      </w:r>
      <w:r w:rsidRPr="00BF1072">
        <w:rPr>
          <w:bCs/>
          <w:sz w:val="28"/>
          <w:szCs w:val="28"/>
          <w:lang w:val="x-none" w:eastAsia="x-none"/>
        </w:rPr>
        <w:t xml:space="preserve"> согласно </w:t>
      </w:r>
      <w:r w:rsidRPr="00BF1072">
        <w:rPr>
          <w:bCs/>
          <w:sz w:val="28"/>
          <w:szCs w:val="28"/>
          <w:lang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BF1072">
        <w:rPr>
          <w:bCs/>
          <w:sz w:val="28"/>
          <w:szCs w:val="28"/>
          <w:lang w:eastAsia="x-none"/>
        </w:rPr>
        <w:t xml:space="preserve">№ 1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BF1072">
        <w:rPr>
          <w:bCs/>
          <w:sz w:val="28"/>
          <w:szCs w:val="28"/>
          <w:lang w:eastAsia="x-none"/>
        </w:rPr>
        <w:t>.</w:t>
      </w:r>
    </w:p>
    <w:p w:rsidR="00BF1072" w:rsidRPr="00BF1072" w:rsidRDefault="00BF1072" w:rsidP="00BF1072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x-none" w:eastAsia="x-none"/>
        </w:rPr>
      </w:pPr>
      <w:r w:rsidRPr="00BF1072">
        <w:rPr>
          <w:bCs/>
          <w:sz w:val="28"/>
          <w:szCs w:val="28"/>
          <w:lang w:val="x-none" w:eastAsia="x-none"/>
        </w:rPr>
        <w:t>Отметить</w:t>
      </w:r>
      <w:r w:rsidRPr="00BF1072">
        <w:rPr>
          <w:bCs/>
          <w:sz w:val="28"/>
          <w:szCs w:val="28"/>
          <w:lang w:eastAsia="x-none"/>
        </w:rPr>
        <w:t xml:space="preserve"> информацию </w:t>
      </w:r>
      <w:r w:rsidRPr="00BF1072">
        <w:rPr>
          <w:bCs/>
          <w:sz w:val="28"/>
          <w:szCs w:val="28"/>
          <w:lang w:val="x-none" w:eastAsia="x-none"/>
        </w:rPr>
        <w:t>об исполнении инвестиционной программы</w:t>
      </w:r>
      <w:r w:rsidRPr="00BF1072">
        <w:rPr>
          <w:bCs/>
          <w:sz w:val="28"/>
          <w:szCs w:val="28"/>
          <w:lang w:eastAsia="x-none"/>
        </w:rPr>
        <w:t xml:space="preserve"> за 4 квартал 2017 года и 2017 год</w:t>
      </w:r>
      <w:r w:rsidRPr="00BF1072">
        <w:rPr>
          <w:bCs/>
          <w:sz w:val="28"/>
          <w:szCs w:val="28"/>
          <w:lang w:val="x-none" w:eastAsia="x-none"/>
        </w:rPr>
        <w:t xml:space="preserve"> согласно </w:t>
      </w:r>
      <w:r w:rsidRPr="00BF1072">
        <w:rPr>
          <w:bCs/>
          <w:sz w:val="28"/>
          <w:szCs w:val="28"/>
          <w:lang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BF1072">
        <w:rPr>
          <w:bCs/>
          <w:sz w:val="28"/>
          <w:szCs w:val="28"/>
          <w:lang w:eastAsia="x-none"/>
        </w:rPr>
        <w:t xml:space="preserve">№ 2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BF1072">
        <w:rPr>
          <w:bCs/>
          <w:sz w:val="28"/>
          <w:szCs w:val="28"/>
          <w:lang w:eastAsia="x-none"/>
        </w:rPr>
        <w:t>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 xml:space="preserve">3. </w:t>
      </w:r>
      <w:r w:rsidRPr="00BF1072">
        <w:rPr>
          <w:sz w:val="28"/>
          <w:szCs w:val="28"/>
        </w:rPr>
        <w:t>Принять к сведению отчет генерального директора Общества об исполнении инвестиционной программы за 1 квартал 2018 года согласно приложению № 5 к настоящему решению Совета директоров Общества.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 xml:space="preserve">4. </w:t>
      </w:r>
      <w:r w:rsidRPr="00BF1072">
        <w:rPr>
          <w:sz w:val="28"/>
          <w:szCs w:val="28"/>
        </w:rPr>
        <w:t xml:space="preserve">Отметить информацию </w:t>
      </w:r>
      <w:r w:rsidRPr="00BF1072">
        <w:rPr>
          <w:bCs/>
          <w:sz w:val="28"/>
          <w:szCs w:val="28"/>
          <w:lang w:val="x-none" w:eastAsia="x-none"/>
        </w:rPr>
        <w:t>об исполнении инвестиционной программы</w:t>
      </w:r>
      <w:r w:rsidRPr="00BF1072">
        <w:rPr>
          <w:bCs/>
          <w:sz w:val="28"/>
          <w:szCs w:val="28"/>
          <w:lang w:eastAsia="x-none"/>
        </w:rPr>
        <w:t xml:space="preserve"> за </w:t>
      </w:r>
      <w:r w:rsidRPr="00BF1072">
        <w:rPr>
          <w:sz w:val="28"/>
          <w:szCs w:val="28"/>
        </w:rPr>
        <w:t xml:space="preserve">1 квартал 2018 года </w:t>
      </w:r>
      <w:r w:rsidRPr="00BF1072">
        <w:rPr>
          <w:bCs/>
          <w:sz w:val="28"/>
          <w:szCs w:val="28"/>
          <w:lang w:val="x-none" w:eastAsia="x-none"/>
        </w:rPr>
        <w:t xml:space="preserve">согласно </w:t>
      </w:r>
      <w:r w:rsidRPr="00BF1072">
        <w:rPr>
          <w:bCs/>
          <w:sz w:val="28"/>
          <w:szCs w:val="28"/>
          <w:lang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BF1072">
        <w:rPr>
          <w:bCs/>
          <w:sz w:val="28"/>
          <w:szCs w:val="28"/>
          <w:lang w:eastAsia="x-none"/>
        </w:rPr>
        <w:t xml:space="preserve">№ 3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BF1072">
        <w:rPr>
          <w:bCs/>
          <w:sz w:val="28"/>
          <w:szCs w:val="28"/>
          <w:lang w:eastAsia="x-none"/>
        </w:rPr>
        <w:t>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1072">
        <w:rPr>
          <w:bCs/>
          <w:sz w:val="28"/>
          <w:szCs w:val="28"/>
          <w:lang w:eastAsia="x-none"/>
        </w:rPr>
        <w:t xml:space="preserve">5. </w:t>
      </w:r>
      <w:r w:rsidRPr="00BF1072">
        <w:rPr>
          <w:sz w:val="28"/>
          <w:szCs w:val="28"/>
        </w:rPr>
        <w:t>Поручить Генеральному директору Общества: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1072">
        <w:rPr>
          <w:sz w:val="28"/>
          <w:szCs w:val="28"/>
        </w:rPr>
        <w:t xml:space="preserve">5.1. </w:t>
      </w:r>
      <w:r w:rsidRPr="00BF1072">
        <w:rPr>
          <w:bCs/>
          <w:sz w:val="28"/>
          <w:szCs w:val="28"/>
          <w:lang w:eastAsia="x-none"/>
        </w:rPr>
        <w:t>представить на рассмотрение Совета директоров Общества информацию о причинах неисполнения плановых показателей инвестиционной программы за 4 квартал 2017 года и 2017 год.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>Срок: 30.09.2018.</w:t>
      </w:r>
    </w:p>
    <w:p w:rsid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</w:rPr>
      </w:pPr>
      <w:r w:rsidRPr="00BF1072">
        <w:rPr>
          <w:bCs/>
          <w:sz w:val="28"/>
          <w:szCs w:val="28"/>
          <w:lang w:eastAsia="x-none"/>
        </w:rPr>
        <w:t xml:space="preserve">5.2. </w:t>
      </w:r>
      <w:r w:rsidRPr="00BF1072">
        <w:rPr>
          <w:sz w:val="28"/>
          <w:szCs w:val="28"/>
        </w:rPr>
        <w:t>обеспечить выполнение плановых параметров инвестиционной программы</w:t>
      </w:r>
      <w:r w:rsidRPr="00BF1072">
        <w:rPr>
          <w:bCs/>
          <w:sz w:val="28"/>
          <w:szCs w:val="28"/>
        </w:rPr>
        <w:t>.</w:t>
      </w:r>
    </w:p>
    <w:p w:rsidR="003729B9" w:rsidRPr="00BF1072" w:rsidRDefault="003729B9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88629E" w:rsidRPr="0088629E" w:rsidTr="00C24031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C24031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A2572" w:rsidRPr="0088629E" w:rsidTr="00C24031">
        <w:tc>
          <w:tcPr>
            <w:tcW w:w="4583" w:type="dxa"/>
          </w:tcPr>
          <w:p w:rsidR="00AA2572" w:rsidRDefault="00AA2572" w:rsidP="00B057F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AA2572" w:rsidRPr="00EE5B74" w:rsidRDefault="00AA2572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2572" w:rsidRPr="00EE5B74" w:rsidRDefault="00AA2572" w:rsidP="00AA257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A2572" w:rsidRPr="00EE5B74" w:rsidRDefault="00AA2572" w:rsidP="00AA257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C24031">
        <w:tc>
          <w:tcPr>
            <w:tcW w:w="4583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C3650" w:rsidRPr="00C66365" w:rsidTr="00C24031">
        <w:tc>
          <w:tcPr>
            <w:tcW w:w="4583" w:type="dxa"/>
          </w:tcPr>
          <w:p w:rsidR="00AC3650" w:rsidRPr="00C66365" w:rsidRDefault="00AC3650" w:rsidP="00AC36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C3650" w:rsidRPr="00C6636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AC3650" w:rsidRPr="00A8229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AC3650" w:rsidRPr="00A82295" w:rsidRDefault="0006484A" w:rsidP="00AC3650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C24031">
        <w:tc>
          <w:tcPr>
            <w:tcW w:w="4583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9090B" w:rsidRPr="0088629E" w:rsidTr="00C24031">
        <w:trPr>
          <w:trHeight w:val="310"/>
        </w:trPr>
        <w:tc>
          <w:tcPr>
            <w:tcW w:w="4583" w:type="dxa"/>
          </w:tcPr>
          <w:p w:rsidR="0029090B" w:rsidRDefault="0029090B" w:rsidP="00621818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29090B" w:rsidRPr="00EE5B74" w:rsidRDefault="0029090B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29090B" w:rsidRDefault="0029090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29090B" w:rsidRDefault="0029090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C7C8D" w:rsidRPr="0088629E" w:rsidTr="00C24031">
        <w:trPr>
          <w:trHeight w:val="310"/>
        </w:trPr>
        <w:tc>
          <w:tcPr>
            <w:tcW w:w="4583" w:type="dxa"/>
          </w:tcPr>
          <w:p w:rsidR="00BC7C8D" w:rsidRPr="00621818" w:rsidRDefault="00BC7C8D" w:rsidP="0062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C7C8D" w:rsidRPr="00A82295" w:rsidRDefault="00BC7C8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C24031">
        <w:tc>
          <w:tcPr>
            <w:tcW w:w="4583" w:type="dxa"/>
          </w:tcPr>
          <w:p w:rsidR="0088629E" w:rsidRPr="00621818" w:rsidRDefault="00CE7D0C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3826" w:rsidRDefault="006C0B37" w:rsidP="00B93826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F6BA3" w:rsidRPr="007F6BA3">
        <w:rPr>
          <w:sz w:val="28"/>
          <w:szCs w:val="28"/>
        </w:rPr>
        <w:t>О рассмотрении Отчета об исполнении Бизнес – плана                  АО «Янтарьэнерго» за 1 квартал 2018 года.</w:t>
      </w:r>
    </w:p>
    <w:p w:rsidR="003729B9" w:rsidRPr="00AF486D" w:rsidRDefault="003729B9" w:rsidP="00B93826">
      <w:pPr>
        <w:jc w:val="both"/>
        <w:rPr>
          <w:b/>
          <w:sz w:val="28"/>
          <w:szCs w:val="28"/>
        </w:rPr>
      </w:pPr>
    </w:p>
    <w:p w:rsidR="007805BB" w:rsidRDefault="006C0B37" w:rsidP="006C0B37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F6BA3" w:rsidRPr="007F6BA3" w:rsidRDefault="007F6BA3" w:rsidP="007F6BA3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F6BA3">
        <w:rPr>
          <w:bCs/>
          <w:sz w:val="28"/>
          <w:szCs w:val="28"/>
        </w:rPr>
        <w:t xml:space="preserve">Принять к сведению Отчет об исполнении бизнес-плана </w:t>
      </w:r>
      <w:r w:rsidRPr="007F6BA3">
        <w:rPr>
          <w:bCs/>
          <w:sz w:val="28"/>
          <w:szCs w:val="28"/>
        </w:rPr>
        <w:br/>
        <w:t>АО «Янтарьэнерго» за 1 квартал 2018 года согласно приложению № 4 к настоящему решению Совета директоров Общества.</w:t>
      </w:r>
    </w:p>
    <w:p w:rsidR="007F6BA3" w:rsidRPr="007F6BA3" w:rsidRDefault="007F6BA3" w:rsidP="007F6BA3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BA3">
        <w:rPr>
          <w:color w:val="000000"/>
          <w:spacing w:val="-2"/>
          <w:sz w:val="28"/>
          <w:szCs w:val="28"/>
        </w:rPr>
        <w:t>Отметить по итогам работы Общества за 1 квартал 2018 года неисполнение плановых показателей в соответствии с приложением № 5 к настоящему решению Совета директоров Общества.</w:t>
      </w:r>
    </w:p>
    <w:p w:rsidR="007F6BA3" w:rsidRPr="007237A7" w:rsidRDefault="007F6BA3" w:rsidP="007F6BA3">
      <w:pPr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237A7">
        <w:rPr>
          <w:sz w:val="28"/>
          <w:szCs w:val="28"/>
        </w:rPr>
        <w:lastRenderedPageBreak/>
        <w:t>Поручить Генеральному директору Общества обеспечить безусловное исполнение показателей бизнес-плана по итогам 2018 года, в том числе чистой прибыли от услуг по передаче электроэнергии.</w:t>
      </w:r>
    </w:p>
    <w:p w:rsidR="007F6BA3" w:rsidRPr="00E875CF" w:rsidRDefault="007F6BA3" w:rsidP="006C0B37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5134C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5134C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Default="00105F1E" w:rsidP="005134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5134C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5134C2">
        <w:tc>
          <w:tcPr>
            <w:tcW w:w="4583" w:type="dxa"/>
          </w:tcPr>
          <w:p w:rsidR="00105F1E" w:rsidRPr="00C66365" w:rsidRDefault="00105F1E" w:rsidP="005134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Default="00105F1E" w:rsidP="00513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C0B37" w:rsidRDefault="006C0B37" w:rsidP="006C0B37">
      <w:pPr>
        <w:shd w:val="clear" w:color="auto" w:fill="FFFFFF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D7660B" w:rsidRPr="0041104A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по Группе                                  АО «Янтарьэнерго» за 1 квартал 2018 года.</w:t>
      </w:r>
    </w:p>
    <w:p w:rsidR="003729B9" w:rsidRPr="00282FEB" w:rsidRDefault="003729B9" w:rsidP="006C0B37">
      <w:pPr>
        <w:shd w:val="clear" w:color="auto" w:fill="FFFFFF"/>
        <w:jc w:val="both"/>
        <w:rPr>
          <w:b/>
          <w:sz w:val="28"/>
          <w:szCs w:val="28"/>
        </w:rPr>
      </w:pPr>
    </w:p>
    <w:p w:rsidR="00D7660B" w:rsidRDefault="006C0B37" w:rsidP="00D7660B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D7660B" w:rsidRPr="007237A7">
        <w:rPr>
          <w:sz w:val="28"/>
          <w:szCs w:val="28"/>
        </w:rPr>
        <w:t xml:space="preserve">Принять к сведению отчет об исполнении бизнес-плана сводного на принципах РСБУ и консолидированного на принципах МСФО Группы АО «Янтарьэнерго» за 1 квартал 2018 года в соответствии с приложениями № </w:t>
      </w:r>
      <w:r w:rsidR="00D7660B">
        <w:rPr>
          <w:sz w:val="28"/>
          <w:szCs w:val="28"/>
        </w:rPr>
        <w:t>6</w:t>
      </w:r>
      <w:r w:rsidR="00D7660B" w:rsidRPr="007237A7">
        <w:rPr>
          <w:sz w:val="28"/>
          <w:szCs w:val="28"/>
        </w:rPr>
        <w:t xml:space="preserve">, </w:t>
      </w:r>
      <w:r w:rsidR="00D7660B">
        <w:rPr>
          <w:sz w:val="28"/>
          <w:szCs w:val="28"/>
        </w:rPr>
        <w:t>7</w:t>
      </w:r>
      <w:r w:rsidR="00D7660B" w:rsidRPr="007237A7">
        <w:rPr>
          <w:sz w:val="28"/>
          <w:szCs w:val="28"/>
        </w:rPr>
        <w:t xml:space="preserve"> к настоящему решению Совета директоров Общества.</w:t>
      </w:r>
    </w:p>
    <w:p w:rsidR="003729B9" w:rsidRPr="007237A7" w:rsidRDefault="003729B9" w:rsidP="00D7660B">
      <w:pPr>
        <w:tabs>
          <w:tab w:val="left" w:pos="993"/>
        </w:tabs>
        <w:contextualSpacing/>
        <w:jc w:val="both"/>
        <w:rPr>
          <w:sz w:val="28"/>
          <w:szCs w:val="28"/>
        </w:rPr>
      </w:pP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5134C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5134C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Default="00105F1E" w:rsidP="005134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5134C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5134C2">
        <w:tc>
          <w:tcPr>
            <w:tcW w:w="4583" w:type="dxa"/>
          </w:tcPr>
          <w:p w:rsidR="00105F1E" w:rsidRPr="00C66365" w:rsidRDefault="00105F1E" w:rsidP="005134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Default="00105F1E" w:rsidP="00513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73173" w:rsidRDefault="006C0B37" w:rsidP="00173173">
      <w:pPr>
        <w:contextualSpacing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173173" w:rsidRPr="0041104A">
        <w:rPr>
          <w:sz w:val="28"/>
          <w:szCs w:val="28"/>
        </w:rPr>
        <w:t xml:space="preserve">Об утверждении Плана-графика мероприятий </w:t>
      </w:r>
      <w:r w:rsidR="00173173">
        <w:rPr>
          <w:sz w:val="28"/>
          <w:szCs w:val="28"/>
        </w:rPr>
        <w:t xml:space="preserve">                                    </w:t>
      </w:r>
      <w:r w:rsidR="00173173" w:rsidRPr="0041104A">
        <w:rPr>
          <w:sz w:val="28"/>
          <w:szCs w:val="28"/>
        </w:rPr>
        <w:t>АО «Янтарьэнерго» по снижению просроченной дебиторской задолженности за услуги по передаче электроэнергии и урегулированию разногласий, сложившихся на 01.07.2018 года.</w:t>
      </w:r>
    </w:p>
    <w:p w:rsidR="003729B9" w:rsidRPr="002B1A47" w:rsidRDefault="003729B9" w:rsidP="00173173">
      <w:pPr>
        <w:contextualSpacing/>
        <w:jc w:val="both"/>
        <w:rPr>
          <w:b/>
          <w:sz w:val="28"/>
          <w:szCs w:val="28"/>
          <w:lang w:val="x-none" w:eastAsia="x-none"/>
        </w:rPr>
      </w:pPr>
    </w:p>
    <w:p w:rsidR="00B93826" w:rsidRDefault="006C0B37" w:rsidP="00B93826">
      <w:pPr>
        <w:suppressAutoHyphens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173173" w:rsidRPr="00173173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73173">
        <w:rPr>
          <w:bCs/>
          <w:sz w:val="28"/>
          <w:szCs w:val="28"/>
        </w:rPr>
        <w:lastRenderedPageBreak/>
        <w:t>1.</w:t>
      </w:r>
      <w:r w:rsidRPr="00173173">
        <w:rPr>
          <w:bCs/>
          <w:sz w:val="28"/>
          <w:szCs w:val="28"/>
        </w:rPr>
        <w:tab/>
        <w:t>Утвердить План-график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01.07.2018, согласно Приложению № 8 к настоящему решению Совета директоров Общества.</w:t>
      </w:r>
    </w:p>
    <w:p w:rsidR="00173173" w:rsidRPr="00173173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73173">
        <w:rPr>
          <w:bCs/>
          <w:sz w:val="28"/>
          <w:szCs w:val="28"/>
        </w:rPr>
        <w:t>2.</w:t>
      </w:r>
      <w:r w:rsidRPr="00173173">
        <w:rPr>
          <w:bCs/>
          <w:sz w:val="28"/>
          <w:szCs w:val="28"/>
        </w:rPr>
        <w:tab/>
        <w:t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01.04.2018, согласно Приложению № 9 к настоящему решению Совета директоров Общества.</w:t>
      </w:r>
    </w:p>
    <w:p w:rsidR="00173173" w:rsidRPr="00173173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73173">
        <w:rPr>
          <w:bCs/>
          <w:sz w:val="28"/>
          <w:szCs w:val="28"/>
        </w:rPr>
        <w:t>3.</w:t>
      </w:r>
      <w:r w:rsidRPr="00173173">
        <w:rPr>
          <w:bCs/>
          <w:sz w:val="28"/>
          <w:szCs w:val="28"/>
        </w:rPr>
        <w:tab/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во 2 квартале 2018 года, в соответствии с Приложением № 10 к настоящему решению Совета директоров Общества.</w:t>
      </w:r>
    </w:p>
    <w:p w:rsidR="00173173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173173">
        <w:rPr>
          <w:bCs/>
          <w:sz w:val="28"/>
          <w:szCs w:val="28"/>
        </w:rPr>
        <w:t>4.</w:t>
      </w:r>
      <w:r w:rsidRPr="00173173">
        <w:rPr>
          <w:bCs/>
          <w:sz w:val="28"/>
          <w:szCs w:val="28"/>
        </w:rPr>
        <w:tab/>
        <w:t>Принять к сведению Отчет о погашении просроченной дебиторской задолженности АО «Янтарьэнерго» за 6 месяцев 2018 года, сложившейся на 01.01.2018, в соответствии с Приложением № 11 к настоящему решению Совета директоров Общества.</w:t>
      </w:r>
    </w:p>
    <w:p w:rsidR="003729B9" w:rsidRPr="00173173" w:rsidRDefault="003729B9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5134C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5134C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Default="00105F1E" w:rsidP="005134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5134C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5134C2">
        <w:tc>
          <w:tcPr>
            <w:tcW w:w="4583" w:type="dxa"/>
          </w:tcPr>
          <w:p w:rsidR="00105F1E" w:rsidRPr="00C66365" w:rsidRDefault="00105F1E" w:rsidP="005134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Default="00105F1E" w:rsidP="00513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C0B37" w:rsidRDefault="006C0B37" w:rsidP="006C0B37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73173" w:rsidRPr="002B1A47" w:rsidRDefault="006C0B37" w:rsidP="00173173">
      <w:pPr>
        <w:contextualSpacing/>
        <w:jc w:val="both"/>
        <w:rPr>
          <w:b/>
          <w:sz w:val="28"/>
          <w:szCs w:val="28"/>
          <w:lang w:val="x-none" w:eastAsia="x-none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173173" w:rsidRPr="0041104A">
        <w:rPr>
          <w:sz w:val="28"/>
          <w:szCs w:val="28"/>
        </w:rPr>
        <w:t>Об утверждении Отчета о выполнении годовых ключевых показателей эффективности (КПЭ) генерального директора Общества за 2017 год.</w:t>
      </w:r>
    </w:p>
    <w:p w:rsidR="003729B9" w:rsidRDefault="003729B9" w:rsidP="006C0B37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137945" w:rsidRDefault="006C0B37" w:rsidP="006C0B37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173173" w:rsidRPr="007237A7">
        <w:rPr>
          <w:rFonts w:eastAsia="Calibri"/>
          <w:sz w:val="28"/>
          <w:szCs w:val="28"/>
        </w:rPr>
        <w:t xml:space="preserve">Утвердить </w:t>
      </w:r>
      <w:r w:rsidR="00173173" w:rsidRPr="007237A7">
        <w:rPr>
          <w:rFonts w:eastAsia="Calibri"/>
          <w:sz w:val="28"/>
          <w:szCs w:val="28"/>
          <w:lang w:eastAsia="en-US"/>
        </w:rPr>
        <w:t xml:space="preserve">Отчет о выполнении годовых ключевых показателей эффективности (КПЭ) генерального директора </w:t>
      </w:r>
      <w:proofErr w:type="gramStart"/>
      <w:r w:rsidR="00173173" w:rsidRPr="007237A7">
        <w:rPr>
          <w:rFonts w:eastAsia="Calibri"/>
          <w:sz w:val="28"/>
          <w:szCs w:val="28"/>
          <w:lang w:eastAsia="en-US"/>
        </w:rPr>
        <w:t>Общества  за</w:t>
      </w:r>
      <w:proofErr w:type="gramEnd"/>
      <w:r w:rsidR="00173173" w:rsidRPr="007237A7">
        <w:rPr>
          <w:rFonts w:eastAsia="Calibri"/>
          <w:sz w:val="28"/>
          <w:szCs w:val="28"/>
          <w:lang w:eastAsia="en-US"/>
        </w:rPr>
        <w:t xml:space="preserve"> 2017 год </w:t>
      </w:r>
      <w:r w:rsidR="00173173" w:rsidRPr="007237A7">
        <w:rPr>
          <w:rFonts w:eastAsia="Calibri"/>
          <w:sz w:val="28"/>
          <w:szCs w:val="28"/>
        </w:rPr>
        <w:t xml:space="preserve">согласно приложению № </w:t>
      </w:r>
      <w:r w:rsidR="00173173">
        <w:rPr>
          <w:rFonts w:eastAsia="Calibri"/>
          <w:sz w:val="28"/>
          <w:szCs w:val="28"/>
        </w:rPr>
        <w:t>1</w:t>
      </w:r>
      <w:r w:rsidR="00173173" w:rsidRPr="007237A7">
        <w:rPr>
          <w:rFonts w:eastAsia="Calibri"/>
          <w:sz w:val="28"/>
          <w:szCs w:val="28"/>
        </w:rPr>
        <w:t>2 к настоящему решению Совета директоров Общества.</w:t>
      </w:r>
    </w:p>
    <w:p w:rsidR="003729B9" w:rsidRDefault="003729B9" w:rsidP="006C0B37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</w:p>
    <w:p w:rsidR="003729B9" w:rsidRDefault="003729B9" w:rsidP="006C0B37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</w:rPr>
      </w:pPr>
    </w:p>
    <w:p w:rsidR="003729B9" w:rsidRPr="00E875CF" w:rsidRDefault="003729B9" w:rsidP="006C0B37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5134C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5134C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Default="00105F1E" w:rsidP="005134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5134C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5134C2">
        <w:tc>
          <w:tcPr>
            <w:tcW w:w="4583" w:type="dxa"/>
          </w:tcPr>
          <w:p w:rsidR="00105F1E" w:rsidRPr="00C66365" w:rsidRDefault="00105F1E" w:rsidP="005134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Default="00105F1E" w:rsidP="00513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729B9" w:rsidRDefault="003729B9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76F8F" w:rsidRPr="002B1A47" w:rsidRDefault="006C0B37" w:rsidP="00476F8F">
      <w:pPr>
        <w:contextualSpacing/>
        <w:jc w:val="both"/>
        <w:rPr>
          <w:b/>
          <w:sz w:val="28"/>
          <w:szCs w:val="28"/>
          <w:lang w:val="x-none" w:eastAsia="x-none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76F8F" w:rsidRPr="008B2E03">
        <w:rPr>
          <w:sz w:val="28"/>
          <w:szCs w:val="28"/>
        </w:rPr>
        <w:t>О внесении изменений в решение Совета директоров Общества от 18.09.2018 (протокол № 6) по вопросу № 4.</w:t>
      </w:r>
    </w:p>
    <w:p w:rsidR="003729B9" w:rsidRDefault="003729B9" w:rsidP="006C0B37">
      <w:pPr>
        <w:widowControl w:val="0"/>
        <w:tabs>
          <w:tab w:val="left" w:pos="2550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6C0B37" w:rsidRDefault="006C0B37" w:rsidP="006C0B37">
      <w:pPr>
        <w:widowControl w:val="0"/>
        <w:tabs>
          <w:tab w:val="left" w:pos="2550"/>
        </w:tabs>
        <w:jc w:val="both"/>
        <w:rPr>
          <w:rFonts w:eastAsia="Calibri"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476F8F" w:rsidRPr="008B2E03">
        <w:rPr>
          <w:rFonts w:eastAsia="Calibri"/>
          <w:sz w:val="28"/>
          <w:szCs w:val="28"/>
          <w:lang w:eastAsia="en-US"/>
        </w:rPr>
        <w:t>Перенести вступление в силу решения Совета директоров Общества от 18.09.2018 (Протокол № 6) по вопросу № 4 и определенные данным решением даты полномочий до принятия Советом директоров Общества отдельного решения.</w:t>
      </w:r>
    </w:p>
    <w:p w:rsidR="003729B9" w:rsidRDefault="003729B9" w:rsidP="006C0B37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</w:p>
    <w:p w:rsidR="00105F1E" w:rsidRDefault="00105F1E" w:rsidP="00105F1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276"/>
        <w:gridCol w:w="1843"/>
      </w:tblGrid>
      <w:tr w:rsidR="00105F1E" w:rsidRPr="0088629E" w:rsidTr="005134C2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799" w:type="dxa"/>
            <w:gridSpan w:val="3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5F1E" w:rsidRPr="0088629E" w:rsidTr="005134C2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105F1E" w:rsidRPr="0088629E" w:rsidRDefault="00105F1E" w:rsidP="005134C2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276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3" w:type="dxa"/>
            <w:shd w:val="pct30" w:color="auto" w:fill="FFFFFF"/>
          </w:tcPr>
          <w:p w:rsidR="00105F1E" w:rsidRPr="0088629E" w:rsidRDefault="00105F1E" w:rsidP="005134C2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Default="00105F1E" w:rsidP="005134C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5F1E" w:rsidRPr="00EE5B74" w:rsidRDefault="00105F1E" w:rsidP="005134C2">
            <w:pPr>
              <w:ind w:firstLine="709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C66365" w:rsidTr="005134C2">
        <w:tc>
          <w:tcPr>
            <w:tcW w:w="4583" w:type="dxa"/>
          </w:tcPr>
          <w:p w:rsidR="00105F1E" w:rsidRPr="00C66365" w:rsidRDefault="00105F1E" w:rsidP="005134C2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105F1E" w:rsidRPr="00C6636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Default="00105F1E" w:rsidP="005134C2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rPr>
          <w:trHeight w:val="310"/>
        </w:trPr>
        <w:tc>
          <w:tcPr>
            <w:tcW w:w="4583" w:type="dxa"/>
          </w:tcPr>
          <w:p w:rsidR="00105F1E" w:rsidRPr="00621818" w:rsidRDefault="00105F1E" w:rsidP="005134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A82295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5F1E" w:rsidRPr="0088629E" w:rsidTr="005134C2">
        <w:tc>
          <w:tcPr>
            <w:tcW w:w="4583" w:type="dxa"/>
          </w:tcPr>
          <w:p w:rsidR="00105F1E" w:rsidRPr="00621818" w:rsidRDefault="00105F1E" w:rsidP="00513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276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105F1E" w:rsidRPr="00EE5B74" w:rsidRDefault="00105F1E" w:rsidP="005134C2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5F1E" w:rsidRDefault="00105F1E" w:rsidP="00105F1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623A7" w:rsidRDefault="003623A7" w:rsidP="003623A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86454" w:rsidRDefault="0062730C" w:rsidP="006C0B37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986454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986454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6C0B37" w:rsidRDefault="00986454" w:rsidP="006C0B37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152715">
        <w:rPr>
          <w:rFonts w:eastAsiaTheme="minorHAnsi"/>
          <w:sz w:val="28"/>
          <w:szCs w:val="28"/>
          <w:lang w:eastAsia="en-US"/>
        </w:rPr>
        <w:t xml:space="preserve"> </w:t>
      </w:r>
    </w:p>
    <w:p w:rsidR="00BF1072" w:rsidRPr="00BF1072" w:rsidRDefault="00BF1072" w:rsidP="00992831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x-none" w:eastAsia="x-none"/>
        </w:rPr>
      </w:pPr>
      <w:r w:rsidRPr="00992831">
        <w:rPr>
          <w:bCs/>
          <w:sz w:val="28"/>
          <w:szCs w:val="28"/>
          <w:lang w:val="x-none" w:eastAsia="x-none"/>
        </w:rPr>
        <w:t>Принять к сведению</w:t>
      </w:r>
      <w:r w:rsidRPr="00BF1072">
        <w:rPr>
          <w:bCs/>
          <w:sz w:val="28"/>
          <w:szCs w:val="28"/>
          <w:lang w:val="x-none" w:eastAsia="x-none"/>
        </w:rPr>
        <w:t xml:space="preserve"> отчет </w:t>
      </w:r>
      <w:r w:rsidRPr="00992831">
        <w:rPr>
          <w:bCs/>
          <w:sz w:val="28"/>
          <w:szCs w:val="28"/>
          <w:lang w:val="x-none" w:eastAsia="x-none"/>
        </w:rPr>
        <w:t xml:space="preserve">Генерального директора Общества об исполнении </w:t>
      </w:r>
      <w:r w:rsidRPr="00BF1072">
        <w:rPr>
          <w:bCs/>
          <w:sz w:val="28"/>
          <w:szCs w:val="28"/>
          <w:lang w:val="x-none" w:eastAsia="x-none"/>
        </w:rPr>
        <w:t>инвестиционной программы Общества</w:t>
      </w:r>
      <w:r w:rsidRPr="00992831">
        <w:rPr>
          <w:bCs/>
          <w:sz w:val="28"/>
          <w:szCs w:val="28"/>
          <w:lang w:val="x-none" w:eastAsia="x-none"/>
        </w:rPr>
        <w:t xml:space="preserve"> за 4 квартал 2017 года и 2017 год</w:t>
      </w:r>
      <w:r w:rsidRPr="00BF1072">
        <w:rPr>
          <w:bCs/>
          <w:sz w:val="28"/>
          <w:szCs w:val="28"/>
          <w:lang w:val="x-none" w:eastAsia="x-none"/>
        </w:rPr>
        <w:t xml:space="preserve"> согласно </w:t>
      </w:r>
      <w:r w:rsidRPr="00992831">
        <w:rPr>
          <w:bCs/>
          <w:sz w:val="28"/>
          <w:szCs w:val="28"/>
          <w:lang w:val="x-none"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992831">
        <w:rPr>
          <w:bCs/>
          <w:sz w:val="28"/>
          <w:szCs w:val="28"/>
          <w:lang w:val="x-none" w:eastAsia="x-none"/>
        </w:rPr>
        <w:t xml:space="preserve">№ 1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992831">
        <w:rPr>
          <w:bCs/>
          <w:sz w:val="28"/>
          <w:szCs w:val="28"/>
          <w:lang w:val="x-none" w:eastAsia="x-none"/>
        </w:rPr>
        <w:t>.</w:t>
      </w:r>
    </w:p>
    <w:p w:rsidR="00BF1072" w:rsidRPr="00BF1072" w:rsidRDefault="00BF1072" w:rsidP="00BF1072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bCs/>
          <w:sz w:val="28"/>
          <w:szCs w:val="28"/>
          <w:lang w:val="x-none" w:eastAsia="x-none"/>
        </w:rPr>
      </w:pPr>
      <w:r w:rsidRPr="00BF1072">
        <w:rPr>
          <w:bCs/>
          <w:sz w:val="28"/>
          <w:szCs w:val="28"/>
          <w:lang w:val="x-none" w:eastAsia="x-none"/>
        </w:rPr>
        <w:t>Отметить</w:t>
      </w:r>
      <w:r w:rsidRPr="00BF1072">
        <w:rPr>
          <w:bCs/>
          <w:sz w:val="28"/>
          <w:szCs w:val="28"/>
          <w:lang w:eastAsia="x-none"/>
        </w:rPr>
        <w:t xml:space="preserve"> информацию </w:t>
      </w:r>
      <w:r w:rsidRPr="00BF1072">
        <w:rPr>
          <w:bCs/>
          <w:sz w:val="28"/>
          <w:szCs w:val="28"/>
          <w:lang w:val="x-none" w:eastAsia="x-none"/>
        </w:rPr>
        <w:t>об исполнении инвестиционной программы</w:t>
      </w:r>
      <w:r w:rsidRPr="00BF1072">
        <w:rPr>
          <w:bCs/>
          <w:sz w:val="28"/>
          <w:szCs w:val="28"/>
          <w:lang w:eastAsia="x-none"/>
        </w:rPr>
        <w:t xml:space="preserve"> за 4 квартал 2017 года и 2017 год</w:t>
      </w:r>
      <w:r w:rsidRPr="00BF1072">
        <w:rPr>
          <w:bCs/>
          <w:sz w:val="28"/>
          <w:szCs w:val="28"/>
          <w:lang w:val="x-none" w:eastAsia="x-none"/>
        </w:rPr>
        <w:t xml:space="preserve"> согласно </w:t>
      </w:r>
      <w:r w:rsidRPr="00BF1072">
        <w:rPr>
          <w:bCs/>
          <w:sz w:val="28"/>
          <w:szCs w:val="28"/>
          <w:lang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BF1072">
        <w:rPr>
          <w:bCs/>
          <w:sz w:val="28"/>
          <w:szCs w:val="28"/>
          <w:lang w:eastAsia="x-none"/>
        </w:rPr>
        <w:t xml:space="preserve">№ 2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BF1072">
        <w:rPr>
          <w:bCs/>
          <w:sz w:val="28"/>
          <w:szCs w:val="28"/>
          <w:lang w:eastAsia="x-none"/>
        </w:rPr>
        <w:t>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 xml:space="preserve">3. </w:t>
      </w:r>
      <w:r w:rsidRPr="00BF1072">
        <w:rPr>
          <w:sz w:val="28"/>
          <w:szCs w:val="28"/>
        </w:rPr>
        <w:t>Принять к сведению отчет генерального директора Общества об исполнении инвестиционной программы за 1 квартал 2018 года согласно приложению № 5 к настоящему решению Совета директоров Общества.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 xml:space="preserve">4. </w:t>
      </w:r>
      <w:r w:rsidRPr="00BF1072">
        <w:rPr>
          <w:sz w:val="28"/>
          <w:szCs w:val="28"/>
        </w:rPr>
        <w:t xml:space="preserve">Отметить информацию </w:t>
      </w:r>
      <w:r w:rsidRPr="00BF1072">
        <w:rPr>
          <w:bCs/>
          <w:sz w:val="28"/>
          <w:szCs w:val="28"/>
          <w:lang w:val="x-none" w:eastAsia="x-none"/>
        </w:rPr>
        <w:t>об исполнении инвестиционной программы</w:t>
      </w:r>
      <w:r w:rsidRPr="00BF1072">
        <w:rPr>
          <w:bCs/>
          <w:sz w:val="28"/>
          <w:szCs w:val="28"/>
          <w:lang w:eastAsia="x-none"/>
        </w:rPr>
        <w:t xml:space="preserve"> за </w:t>
      </w:r>
      <w:r w:rsidRPr="00BF1072">
        <w:rPr>
          <w:sz w:val="28"/>
          <w:szCs w:val="28"/>
        </w:rPr>
        <w:lastRenderedPageBreak/>
        <w:t xml:space="preserve">1 квартал 2018 года </w:t>
      </w:r>
      <w:r w:rsidRPr="00BF1072">
        <w:rPr>
          <w:bCs/>
          <w:sz w:val="28"/>
          <w:szCs w:val="28"/>
          <w:lang w:val="x-none" w:eastAsia="x-none"/>
        </w:rPr>
        <w:t xml:space="preserve">согласно </w:t>
      </w:r>
      <w:r w:rsidRPr="00BF1072">
        <w:rPr>
          <w:bCs/>
          <w:sz w:val="28"/>
          <w:szCs w:val="28"/>
          <w:lang w:eastAsia="x-none"/>
        </w:rPr>
        <w:t>п</w:t>
      </w:r>
      <w:proofErr w:type="spellStart"/>
      <w:r w:rsidRPr="00BF1072">
        <w:rPr>
          <w:bCs/>
          <w:sz w:val="28"/>
          <w:szCs w:val="28"/>
          <w:lang w:val="x-none" w:eastAsia="x-none"/>
        </w:rPr>
        <w:t>риложению</w:t>
      </w:r>
      <w:proofErr w:type="spellEnd"/>
      <w:r w:rsidRPr="00BF1072">
        <w:rPr>
          <w:bCs/>
          <w:sz w:val="28"/>
          <w:szCs w:val="28"/>
          <w:lang w:val="x-none" w:eastAsia="x-none"/>
        </w:rPr>
        <w:t xml:space="preserve"> </w:t>
      </w:r>
      <w:r w:rsidRPr="00BF1072">
        <w:rPr>
          <w:bCs/>
          <w:sz w:val="28"/>
          <w:szCs w:val="28"/>
          <w:lang w:eastAsia="x-none"/>
        </w:rPr>
        <w:t xml:space="preserve">№ 3 </w:t>
      </w:r>
      <w:r w:rsidRPr="00BF1072">
        <w:rPr>
          <w:bCs/>
          <w:sz w:val="28"/>
          <w:szCs w:val="28"/>
          <w:lang w:val="x-none" w:eastAsia="x-none"/>
        </w:rPr>
        <w:t>к настоящему решению Совета директоров Общества</w:t>
      </w:r>
      <w:r w:rsidRPr="00BF1072">
        <w:rPr>
          <w:bCs/>
          <w:sz w:val="28"/>
          <w:szCs w:val="28"/>
          <w:lang w:eastAsia="x-none"/>
        </w:rPr>
        <w:t>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1072">
        <w:rPr>
          <w:bCs/>
          <w:sz w:val="28"/>
          <w:szCs w:val="28"/>
          <w:lang w:eastAsia="x-none"/>
        </w:rPr>
        <w:t xml:space="preserve">5. </w:t>
      </w:r>
      <w:r w:rsidRPr="00BF1072">
        <w:rPr>
          <w:sz w:val="28"/>
          <w:szCs w:val="28"/>
        </w:rPr>
        <w:t>Поручить Генеральному директору Общества: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F1072">
        <w:rPr>
          <w:sz w:val="28"/>
          <w:szCs w:val="28"/>
        </w:rPr>
        <w:t xml:space="preserve">5.1. </w:t>
      </w:r>
      <w:r w:rsidRPr="00BF1072">
        <w:rPr>
          <w:bCs/>
          <w:sz w:val="28"/>
          <w:szCs w:val="28"/>
          <w:lang w:eastAsia="x-none"/>
        </w:rPr>
        <w:t>представить на рассмотрение Совета директоров Общества информацию о причинах неисполнения плановых показателей инвестиционной программы за 4 квартал 2017 года и 2017 год.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>Срок: 30.09.2018.</w:t>
      </w:r>
    </w:p>
    <w:p w:rsidR="00BF1072" w:rsidRPr="00BF1072" w:rsidRDefault="00BF1072" w:rsidP="00BF1072">
      <w:pPr>
        <w:widowControl w:val="0"/>
        <w:tabs>
          <w:tab w:val="left" w:pos="1134"/>
        </w:tabs>
        <w:ind w:firstLine="567"/>
        <w:contextualSpacing/>
        <w:jc w:val="both"/>
        <w:rPr>
          <w:bCs/>
          <w:sz w:val="28"/>
          <w:szCs w:val="28"/>
          <w:lang w:eastAsia="x-none"/>
        </w:rPr>
      </w:pPr>
      <w:r w:rsidRPr="00BF1072">
        <w:rPr>
          <w:bCs/>
          <w:sz w:val="28"/>
          <w:szCs w:val="28"/>
          <w:lang w:eastAsia="x-none"/>
        </w:rPr>
        <w:t xml:space="preserve">5.2. </w:t>
      </w:r>
      <w:r w:rsidRPr="00BF1072">
        <w:rPr>
          <w:sz w:val="28"/>
          <w:szCs w:val="28"/>
        </w:rPr>
        <w:t>обеспечить выполнение плановых параметров инвестиционной программы</w:t>
      </w:r>
      <w:r w:rsidRPr="00BF1072">
        <w:rPr>
          <w:bCs/>
          <w:sz w:val="28"/>
          <w:szCs w:val="28"/>
        </w:rPr>
        <w:t>.</w:t>
      </w:r>
    </w:p>
    <w:p w:rsidR="003729B9" w:rsidRDefault="003729B9" w:rsidP="00F71C9E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986454" w:rsidRDefault="00986454" w:rsidP="00F71C9E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2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</w:p>
    <w:p w:rsidR="007F6BA3" w:rsidRPr="007F6BA3" w:rsidRDefault="007F6BA3" w:rsidP="007F6BA3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7F6BA3">
        <w:rPr>
          <w:color w:val="000000"/>
          <w:spacing w:val="-2"/>
          <w:sz w:val="28"/>
          <w:szCs w:val="28"/>
        </w:rPr>
        <w:t xml:space="preserve">Принять к сведению Отчет об исполнении бизнес-плана </w:t>
      </w:r>
      <w:r w:rsidRPr="007F6BA3">
        <w:rPr>
          <w:color w:val="000000"/>
          <w:spacing w:val="-2"/>
          <w:sz w:val="28"/>
          <w:szCs w:val="28"/>
        </w:rPr>
        <w:br/>
        <w:t>АО «Янтарьэнерго» за 1 квартал 2018 года согласно приложению № 4 к настоящему решению Совета директоров Общества.</w:t>
      </w:r>
    </w:p>
    <w:p w:rsidR="007F6BA3" w:rsidRPr="007F6BA3" w:rsidRDefault="007F6BA3" w:rsidP="007F6BA3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BA3">
        <w:rPr>
          <w:color w:val="000000"/>
          <w:spacing w:val="-2"/>
          <w:sz w:val="28"/>
          <w:szCs w:val="28"/>
        </w:rPr>
        <w:t>Отметить по итогам работы Общества за 1 квартал 2018 года неисполнение плановых показателей в соответствии с приложением № 5 к настоящему решению Совета директоров Общества.</w:t>
      </w:r>
    </w:p>
    <w:p w:rsidR="007F6BA3" w:rsidRPr="007237A7" w:rsidRDefault="007F6BA3" w:rsidP="007F6BA3">
      <w:pPr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237A7">
        <w:rPr>
          <w:sz w:val="28"/>
          <w:szCs w:val="28"/>
        </w:rPr>
        <w:t>Поручить Генеральному директору Общества обеспечить безусловное исполнение показателей бизнес-плана по итогам 2018 года, в том числе чистой прибыли от услуг по передаче электроэнергии.</w:t>
      </w:r>
    </w:p>
    <w:p w:rsidR="007F6BA3" w:rsidRDefault="007F6BA3" w:rsidP="00F71C9E">
      <w:pPr>
        <w:widowControl w:val="0"/>
        <w:tabs>
          <w:tab w:val="left" w:pos="2550"/>
        </w:tabs>
        <w:jc w:val="both"/>
        <w:rPr>
          <w:sz w:val="28"/>
          <w:szCs w:val="28"/>
        </w:rPr>
      </w:pPr>
    </w:p>
    <w:p w:rsidR="00D7660B" w:rsidRPr="007237A7" w:rsidRDefault="00986454" w:rsidP="00D7660B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3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  <w:r w:rsidR="00D7660B" w:rsidRPr="007237A7">
        <w:rPr>
          <w:sz w:val="28"/>
          <w:szCs w:val="28"/>
        </w:rPr>
        <w:t xml:space="preserve">Принять к сведению отчет об исполнении бизнес-плана сводного на принципах РСБУ и консолидированного на принципах МСФО Группы АО «Янтарьэнерго» за 1 квартал 2018 года в соответствии с приложениями № </w:t>
      </w:r>
      <w:r w:rsidR="00D7660B">
        <w:rPr>
          <w:sz w:val="28"/>
          <w:szCs w:val="28"/>
        </w:rPr>
        <w:t>6</w:t>
      </w:r>
      <w:r w:rsidR="00D7660B" w:rsidRPr="007237A7">
        <w:rPr>
          <w:sz w:val="28"/>
          <w:szCs w:val="28"/>
        </w:rPr>
        <w:t xml:space="preserve">, </w:t>
      </w:r>
      <w:r w:rsidR="00D7660B">
        <w:rPr>
          <w:sz w:val="28"/>
          <w:szCs w:val="28"/>
        </w:rPr>
        <w:t>7</w:t>
      </w:r>
      <w:r w:rsidR="00D7660B" w:rsidRPr="007237A7">
        <w:rPr>
          <w:sz w:val="28"/>
          <w:szCs w:val="28"/>
        </w:rPr>
        <w:t xml:space="preserve"> к настоящему решению Совета директоров Общества.</w:t>
      </w:r>
    </w:p>
    <w:p w:rsidR="006C0B37" w:rsidRDefault="006C0B37" w:rsidP="00F71C9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B93826" w:rsidRDefault="00986454" w:rsidP="00B93826">
      <w:pPr>
        <w:suppressAutoHyphens/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4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</w:p>
    <w:p w:rsidR="00173173" w:rsidRPr="007237A7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37A7">
        <w:rPr>
          <w:bCs/>
          <w:sz w:val="28"/>
          <w:szCs w:val="28"/>
        </w:rPr>
        <w:t>1.</w:t>
      </w:r>
      <w:r w:rsidRPr="007237A7">
        <w:rPr>
          <w:bCs/>
          <w:sz w:val="28"/>
          <w:szCs w:val="28"/>
        </w:rPr>
        <w:tab/>
        <w:t xml:space="preserve">Утвердить План-график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01.07.2018, согласно Приложению № </w:t>
      </w:r>
      <w:r>
        <w:rPr>
          <w:bCs/>
          <w:sz w:val="28"/>
          <w:szCs w:val="28"/>
        </w:rPr>
        <w:t>8</w:t>
      </w:r>
      <w:r w:rsidRPr="007237A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73173" w:rsidRPr="007237A7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37A7">
        <w:rPr>
          <w:bCs/>
          <w:sz w:val="28"/>
          <w:szCs w:val="28"/>
        </w:rPr>
        <w:t>2.</w:t>
      </w:r>
      <w:r w:rsidRPr="007237A7">
        <w:rPr>
          <w:bCs/>
          <w:sz w:val="28"/>
          <w:szCs w:val="28"/>
        </w:rPr>
        <w:tab/>
        <w:t xml:space="preserve"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01.04.2018, согласно Приложению № </w:t>
      </w:r>
      <w:r>
        <w:rPr>
          <w:bCs/>
          <w:sz w:val="28"/>
          <w:szCs w:val="28"/>
        </w:rPr>
        <w:t>9</w:t>
      </w:r>
      <w:r w:rsidRPr="007237A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73173" w:rsidRPr="007237A7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37A7">
        <w:rPr>
          <w:bCs/>
          <w:sz w:val="28"/>
          <w:szCs w:val="28"/>
        </w:rPr>
        <w:t>3.</w:t>
      </w:r>
      <w:r w:rsidRPr="007237A7">
        <w:rPr>
          <w:bCs/>
          <w:sz w:val="28"/>
          <w:szCs w:val="28"/>
        </w:rPr>
        <w:tab/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во 2 квартале 2018 года, в соответствии с Приложением № 1</w:t>
      </w:r>
      <w:r>
        <w:rPr>
          <w:bCs/>
          <w:sz w:val="28"/>
          <w:szCs w:val="28"/>
        </w:rPr>
        <w:t>0</w:t>
      </w:r>
      <w:r w:rsidRPr="007237A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73173" w:rsidRPr="007237A7" w:rsidRDefault="00173173" w:rsidP="00930142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7237A7">
        <w:rPr>
          <w:bCs/>
          <w:sz w:val="28"/>
          <w:szCs w:val="28"/>
        </w:rPr>
        <w:t>4.</w:t>
      </w:r>
      <w:r w:rsidRPr="007237A7">
        <w:rPr>
          <w:bCs/>
          <w:sz w:val="28"/>
          <w:szCs w:val="28"/>
        </w:rPr>
        <w:tab/>
        <w:t xml:space="preserve">Принять к сведению Отчет о погашении просроченной дебиторской задолженности АО «Янтарьэнерго» за 6 месяцев 2018 года, сложившейся на </w:t>
      </w:r>
      <w:r w:rsidRPr="007237A7">
        <w:rPr>
          <w:bCs/>
          <w:sz w:val="28"/>
          <w:szCs w:val="28"/>
        </w:rPr>
        <w:lastRenderedPageBreak/>
        <w:t xml:space="preserve">01.01.2018, в соответствии с Приложением № </w:t>
      </w:r>
      <w:r>
        <w:rPr>
          <w:bCs/>
          <w:sz w:val="28"/>
          <w:szCs w:val="28"/>
        </w:rPr>
        <w:t>11</w:t>
      </w:r>
      <w:r w:rsidRPr="007237A7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73173" w:rsidRPr="007835ED" w:rsidRDefault="00173173" w:rsidP="00B93826">
      <w:pPr>
        <w:suppressAutoHyphens/>
        <w:jc w:val="both"/>
        <w:rPr>
          <w:sz w:val="28"/>
          <w:szCs w:val="28"/>
        </w:rPr>
      </w:pPr>
    </w:p>
    <w:p w:rsidR="00986454" w:rsidRDefault="00986454" w:rsidP="00930142">
      <w:pPr>
        <w:widowControl w:val="0"/>
        <w:tabs>
          <w:tab w:val="left" w:pos="2550"/>
        </w:tabs>
        <w:jc w:val="both"/>
        <w:rPr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5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B93826" w:rsidRPr="00B93826">
        <w:rPr>
          <w:sz w:val="28"/>
          <w:szCs w:val="28"/>
        </w:rPr>
        <w:t xml:space="preserve"> </w:t>
      </w:r>
      <w:r w:rsidR="00173173" w:rsidRPr="007237A7">
        <w:rPr>
          <w:rFonts w:eastAsia="Calibri"/>
          <w:sz w:val="28"/>
          <w:szCs w:val="28"/>
        </w:rPr>
        <w:t xml:space="preserve">Утвердить </w:t>
      </w:r>
      <w:r w:rsidR="00173173" w:rsidRPr="007237A7">
        <w:rPr>
          <w:rFonts w:eastAsia="Calibri"/>
          <w:sz w:val="28"/>
          <w:szCs w:val="28"/>
          <w:lang w:eastAsia="en-US"/>
        </w:rPr>
        <w:t xml:space="preserve">Отчет о выполнении годовых ключевых показателей эффективности (КПЭ) генерального директора </w:t>
      </w:r>
      <w:proofErr w:type="gramStart"/>
      <w:r w:rsidR="00173173" w:rsidRPr="007237A7">
        <w:rPr>
          <w:rFonts w:eastAsia="Calibri"/>
          <w:sz w:val="28"/>
          <w:szCs w:val="28"/>
          <w:lang w:eastAsia="en-US"/>
        </w:rPr>
        <w:t>Общества  за</w:t>
      </w:r>
      <w:proofErr w:type="gramEnd"/>
      <w:r w:rsidR="00173173" w:rsidRPr="007237A7">
        <w:rPr>
          <w:rFonts w:eastAsia="Calibri"/>
          <w:sz w:val="28"/>
          <w:szCs w:val="28"/>
          <w:lang w:eastAsia="en-US"/>
        </w:rPr>
        <w:t xml:space="preserve"> 2017 год </w:t>
      </w:r>
      <w:r w:rsidR="00173173" w:rsidRPr="007237A7">
        <w:rPr>
          <w:rFonts w:eastAsia="Calibri"/>
          <w:sz w:val="28"/>
          <w:szCs w:val="28"/>
        </w:rPr>
        <w:t xml:space="preserve">согласно приложению № </w:t>
      </w:r>
      <w:r w:rsidR="00173173">
        <w:rPr>
          <w:rFonts w:eastAsia="Calibri"/>
          <w:sz w:val="28"/>
          <w:szCs w:val="28"/>
        </w:rPr>
        <w:t>1</w:t>
      </w:r>
      <w:r w:rsidR="00173173" w:rsidRPr="007237A7">
        <w:rPr>
          <w:rFonts w:eastAsia="Calibri"/>
          <w:sz w:val="28"/>
          <w:szCs w:val="28"/>
        </w:rPr>
        <w:t>2 к настоящему решению Совета директоров Общества.</w:t>
      </w:r>
    </w:p>
    <w:p w:rsidR="003729B9" w:rsidRDefault="003729B9" w:rsidP="00930142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C0B37" w:rsidRDefault="00986454" w:rsidP="00930142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</w:t>
      </w:r>
      <w:r w:rsidR="006C0B37"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6C0B37">
        <w:rPr>
          <w:rFonts w:eastAsia="Calibri"/>
          <w:b/>
          <w:sz w:val="28"/>
          <w:szCs w:val="28"/>
          <w:lang w:eastAsia="en-US"/>
        </w:rPr>
        <w:t>6</w:t>
      </w:r>
      <w:r w:rsidR="006C0B37" w:rsidRPr="00152715">
        <w:rPr>
          <w:rFonts w:eastAsia="Calibri"/>
          <w:b/>
          <w:sz w:val="28"/>
          <w:szCs w:val="28"/>
          <w:lang w:eastAsia="en-US"/>
        </w:rPr>
        <w:t>:</w:t>
      </w:r>
      <w:r w:rsidR="00476F8F" w:rsidRPr="00476F8F">
        <w:rPr>
          <w:rFonts w:eastAsia="Calibri"/>
          <w:sz w:val="28"/>
          <w:szCs w:val="28"/>
          <w:lang w:eastAsia="en-US"/>
        </w:rPr>
        <w:t xml:space="preserve"> </w:t>
      </w:r>
      <w:r w:rsidR="00476F8F" w:rsidRPr="008B2E03">
        <w:rPr>
          <w:rFonts w:eastAsia="Calibri"/>
          <w:sz w:val="28"/>
          <w:szCs w:val="28"/>
          <w:lang w:eastAsia="en-US"/>
        </w:rPr>
        <w:t>Перенести вступление в силу решения Совета директоров Общества от 18.09.2018 (Протокол № 6) по вопросу № 4 и определенные данным решением даты полномочий до принятия Советом директоров Общества отдельного решения.</w:t>
      </w:r>
    </w:p>
    <w:p w:rsidR="00BC7C8D" w:rsidRDefault="00BC7C8D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43577E" w:rsidRDefault="0043577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86454">
        <w:rPr>
          <w:rFonts w:eastAsiaTheme="minorHAnsi"/>
          <w:bCs/>
          <w:color w:val="000000"/>
          <w:sz w:val="28"/>
          <w:szCs w:val="28"/>
          <w:lang w:eastAsia="en-US"/>
        </w:rPr>
        <w:t>20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71C9E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77A13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DE6967" w:rsidRDefault="00DE696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7C2762" w:rsidRDefault="007C2762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BF1A8D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71" w:rsidRDefault="00622071" w:rsidP="001D1CEA">
      <w:r>
        <w:separator/>
      </w:r>
    </w:p>
  </w:endnote>
  <w:endnote w:type="continuationSeparator" w:id="0">
    <w:p w:rsidR="00622071" w:rsidRDefault="00622071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71" w:rsidRDefault="00622071" w:rsidP="001D1CEA">
      <w:r>
        <w:separator/>
      </w:r>
    </w:p>
  </w:footnote>
  <w:footnote w:type="continuationSeparator" w:id="0">
    <w:p w:rsidR="00622071" w:rsidRDefault="00622071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9B9">
          <w:rPr>
            <w:noProof/>
          </w:rPr>
          <w:t>7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69C2"/>
    <w:multiLevelType w:val="hybridMultilevel"/>
    <w:tmpl w:val="F334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4DF3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94654F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90E8B"/>
    <w:multiLevelType w:val="multilevel"/>
    <w:tmpl w:val="C39A8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47327"/>
    <w:multiLevelType w:val="multilevel"/>
    <w:tmpl w:val="C39A80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05D5D"/>
    <w:multiLevelType w:val="hybridMultilevel"/>
    <w:tmpl w:val="F3D4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1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42735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2"/>
  </w:num>
  <w:num w:numId="5">
    <w:abstractNumId w:val="9"/>
  </w:num>
  <w:num w:numId="6">
    <w:abstractNumId w:val="28"/>
  </w:num>
  <w:num w:numId="7">
    <w:abstractNumId w:val="24"/>
  </w:num>
  <w:num w:numId="8">
    <w:abstractNumId w:val="16"/>
  </w:num>
  <w:num w:numId="9">
    <w:abstractNumId w:val="15"/>
  </w:num>
  <w:num w:numId="10">
    <w:abstractNumId w:val="8"/>
  </w:num>
  <w:num w:numId="11">
    <w:abstractNumId w:val="5"/>
  </w:num>
  <w:num w:numId="12">
    <w:abstractNumId w:val="1"/>
  </w:num>
  <w:num w:numId="13">
    <w:abstractNumId w:val="34"/>
  </w:num>
  <w:num w:numId="14">
    <w:abstractNumId w:val="10"/>
  </w:num>
  <w:num w:numId="15">
    <w:abstractNumId w:val="30"/>
  </w:num>
  <w:num w:numId="16">
    <w:abstractNumId w:val="29"/>
  </w:num>
  <w:num w:numId="17">
    <w:abstractNumId w:val="11"/>
  </w:num>
  <w:num w:numId="18">
    <w:abstractNumId w:val="31"/>
  </w:num>
  <w:num w:numId="19">
    <w:abstractNumId w:val="32"/>
  </w:num>
  <w:num w:numId="20">
    <w:abstractNumId w:val="6"/>
  </w:num>
  <w:num w:numId="21">
    <w:abstractNumId w:val="26"/>
  </w:num>
  <w:num w:numId="22">
    <w:abstractNumId w:val="13"/>
  </w:num>
  <w:num w:numId="23">
    <w:abstractNumId w:val="17"/>
  </w:num>
  <w:num w:numId="24">
    <w:abstractNumId w:val="7"/>
  </w:num>
  <w:num w:numId="25">
    <w:abstractNumId w:val="14"/>
  </w:num>
  <w:num w:numId="26">
    <w:abstractNumId w:val="0"/>
  </w:num>
  <w:num w:numId="27">
    <w:abstractNumId w:val="27"/>
  </w:num>
  <w:num w:numId="28">
    <w:abstractNumId w:val="4"/>
  </w:num>
  <w:num w:numId="29">
    <w:abstractNumId w:val="2"/>
  </w:num>
  <w:num w:numId="30">
    <w:abstractNumId w:val="25"/>
  </w:num>
  <w:num w:numId="31">
    <w:abstractNumId w:val="21"/>
  </w:num>
  <w:num w:numId="32">
    <w:abstractNumId w:val="23"/>
  </w:num>
  <w:num w:numId="33">
    <w:abstractNumId w:val="3"/>
  </w:num>
  <w:num w:numId="34">
    <w:abstractNumId w:val="33"/>
  </w:num>
  <w:num w:numId="3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5AA0"/>
    <w:rsid w:val="0004617D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484A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5F1E"/>
    <w:rsid w:val="0010666B"/>
    <w:rsid w:val="00106E1B"/>
    <w:rsid w:val="0010713A"/>
    <w:rsid w:val="00107280"/>
    <w:rsid w:val="00107C9D"/>
    <w:rsid w:val="00114248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C0D"/>
    <w:rsid w:val="00134E8E"/>
    <w:rsid w:val="00135D9F"/>
    <w:rsid w:val="00137945"/>
    <w:rsid w:val="001461FE"/>
    <w:rsid w:val="0014757E"/>
    <w:rsid w:val="00152715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64AF5"/>
    <w:rsid w:val="001716F9"/>
    <w:rsid w:val="00172762"/>
    <w:rsid w:val="00173173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5A41"/>
    <w:rsid w:val="001B6EB3"/>
    <w:rsid w:val="001C1F24"/>
    <w:rsid w:val="001C299B"/>
    <w:rsid w:val="001C430C"/>
    <w:rsid w:val="001C44A9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46E32"/>
    <w:rsid w:val="00252404"/>
    <w:rsid w:val="00255765"/>
    <w:rsid w:val="00256B5E"/>
    <w:rsid w:val="002571CD"/>
    <w:rsid w:val="00257695"/>
    <w:rsid w:val="00264932"/>
    <w:rsid w:val="0026513D"/>
    <w:rsid w:val="00272140"/>
    <w:rsid w:val="00272DC8"/>
    <w:rsid w:val="00272EA8"/>
    <w:rsid w:val="002734B4"/>
    <w:rsid w:val="0027393E"/>
    <w:rsid w:val="00274DE3"/>
    <w:rsid w:val="00276649"/>
    <w:rsid w:val="00276FE5"/>
    <w:rsid w:val="002810B3"/>
    <w:rsid w:val="0028196D"/>
    <w:rsid w:val="0028233A"/>
    <w:rsid w:val="0028537C"/>
    <w:rsid w:val="0029090B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C09"/>
    <w:rsid w:val="003577BC"/>
    <w:rsid w:val="00357EFF"/>
    <w:rsid w:val="003610D7"/>
    <w:rsid w:val="00361302"/>
    <w:rsid w:val="00361C33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29B9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C52"/>
    <w:rsid w:val="003D2DC2"/>
    <w:rsid w:val="003D6F9D"/>
    <w:rsid w:val="003E0358"/>
    <w:rsid w:val="003E078D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3577E"/>
    <w:rsid w:val="00445045"/>
    <w:rsid w:val="00447685"/>
    <w:rsid w:val="00453179"/>
    <w:rsid w:val="00455745"/>
    <w:rsid w:val="00456A7B"/>
    <w:rsid w:val="004623D5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76F8F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A6DC0"/>
    <w:rsid w:val="004B0066"/>
    <w:rsid w:val="004B0514"/>
    <w:rsid w:val="004B2351"/>
    <w:rsid w:val="004B5B4E"/>
    <w:rsid w:val="004B608F"/>
    <w:rsid w:val="004B79E7"/>
    <w:rsid w:val="004C1D48"/>
    <w:rsid w:val="004C54FC"/>
    <w:rsid w:val="004D2916"/>
    <w:rsid w:val="004D4419"/>
    <w:rsid w:val="004E0ED0"/>
    <w:rsid w:val="004E11D0"/>
    <w:rsid w:val="004E5331"/>
    <w:rsid w:val="004E571F"/>
    <w:rsid w:val="004E5FAA"/>
    <w:rsid w:val="004E6C80"/>
    <w:rsid w:val="004F00BD"/>
    <w:rsid w:val="004F0D50"/>
    <w:rsid w:val="004F33C7"/>
    <w:rsid w:val="004F4248"/>
    <w:rsid w:val="004F457E"/>
    <w:rsid w:val="004F5B90"/>
    <w:rsid w:val="004F6EA6"/>
    <w:rsid w:val="00501E26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E4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071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0B37"/>
    <w:rsid w:val="006C507B"/>
    <w:rsid w:val="006D3913"/>
    <w:rsid w:val="006D411D"/>
    <w:rsid w:val="006D5567"/>
    <w:rsid w:val="006D7B62"/>
    <w:rsid w:val="006E1538"/>
    <w:rsid w:val="006E4428"/>
    <w:rsid w:val="006E651D"/>
    <w:rsid w:val="006F34F8"/>
    <w:rsid w:val="006F3FA4"/>
    <w:rsid w:val="006F49A9"/>
    <w:rsid w:val="006F6AE6"/>
    <w:rsid w:val="006F71A4"/>
    <w:rsid w:val="006F75AE"/>
    <w:rsid w:val="007007BE"/>
    <w:rsid w:val="00700BBD"/>
    <w:rsid w:val="0070130D"/>
    <w:rsid w:val="007021FE"/>
    <w:rsid w:val="00705517"/>
    <w:rsid w:val="007131E3"/>
    <w:rsid w:val="00715BA0"/>
    <w:rsid w:val="00717D31"/>
    <w:rsid w:val="007202BC"/>
    <w:rsid w:val="007208D5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2BA5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5BB"/>
    <w:rsid w:val="00780667"/>
    <w:rsid w:val="007818FC"/>
    <w:rsid w:val="00782463"/>
    <w:rsid w:val="00782FB4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1EFD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D7B1B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60EF"/>
    <w:rsid w:val="007F6BA3"/>
    <w:rsid w:val="007F6E68"/>
    <w:rsid w:val="007F79FF"/>
    <w:rsid w:val="008004F0"/>
    <w:rsid w:val="0080217E"/>
    <w:rsid w:val="0080346B"/>
    <w:rsid w:val="00803CA0"/>
    <w:rsid w:val="00805EDB"/>
    <w:rsid w:val="00811097"/>
    <w:rsid w:val="0081253F"/>
    <w:rsid w:val="008129C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B18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E3BA0"/>
    <w:rsid w:val="008E6997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142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86454"/>
    <w:rsid w:val="0099015C"/>
    <w:rsid w:val="009915B5"/>
    <w:rsid w:val="00991CF7"/>
    <w:rsid w:val="00992831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0DA5"/>
    <w:rsid w:val="00A13B38"/>
    <w:rsid w:val="00A220FD"/>
    <w:rsid w:val="00A2321E"/>
    <w:rsid w:val="00A25858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2572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37E4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01B4"/>
    <w:rsid w:val="00B32A93"/>
    <w:rsid w:val="00B34F54"/>
    <w:rsid w:val="00B351F1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382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1072"/>
    <w:rsid w:val="00BF1A8D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23018"/>
    <w:rsid w:val="00C24031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3AA7"/>
    <w:rsid w:val="00CE5AEE"/>
    <w:rsid w:val="00CE6151"/>
    <w:rsid w:val="00CE7D0C"/>
    <w:rsid w:val="00CF01A8"/>
    <w:rsid w:val="00CF40CE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24CE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192D"/>
    <w:rsid w:val="00D62F5C"/>
    <w:rsid w:val="00D640DE"/>
    <w:rsid w:val="00D66C36"/>
    <w:rsid w:val="00D72506"/>
    <w:rsid w:val="00D74B33"/>
    <w:rsid w:val="00D7660B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EE8"/>
    <w:rsid w:val="00DE2C7D"/>
    <w:rsid w:val="00DE3709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C7C12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FC6"/>
    <w:rsid w:val="00FA468A"/>
    <w:rsid w:val="00FA5029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36DB-C230-4A2C-9394-77D81267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34</cp:revision>
  <cp:lastPrinted>2018-08-09T09:30:00Z</cp:lastPrinted>
  <dcterms:created xsi:type="dcterms:W3CDTF">2018-08-09T08:44:00Z</dcterms:created>
  <dcterms:modified xsi:type="dcterms:W3CDTF">2018-09-20T07:16:00Z</dcterms:modified>
</cp:coreProperties>
</file>