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097" w:rsidRPr="00B57097" w:rsidRDefault="00B57097" w:rsidP="00B57097">
      <w:pPr>
        <w:spacing w:after="0" w:line="276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 w:rsidRPr="00B57097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 xml:space="preserve">Информация о качестве обслуживания потребителей услуг </w:t>
      </w:r>
    </w:p>
    <w:p w:rsidR="00046631" w:rsidRPr="00B57097" w:rsidRDefault="00E63D9E" w:rsidP="00B57097">
      <w:pPr>
        <w:spacing w:after="0" w:line="276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АО «Янтарьэнерго» за 2016</w:t>
      </w:r>
      <w:r w:rsidR="00B57097" w:rsidRPr="00B57097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 xml:space="preserve"> год</w:t>
      </w:r>
    </w:p>
    <w:p w:rsidR="00B57097" w:rsidRDefault="00B57097" w:rsidP="00B57097">
      <w:pPr>
        <w:spacing w:after="0" w:line="276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B57097" w:rsidRDefault="00B57097" w:rsidP="00B57097">
      <w:pPr>
        <w:spacing w:after="0" w:line="276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B57097" w:rsidRPr="009A6014" w:rsidRDefault="00B57097" w:rsidP="00B87B1E">
      <w:pPr>
        <w:pStyle w:val="a3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9A601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Общая информация о сетевой организации</w:t>
      </w:r>
    </w:p>
    <w:p w:rsidR="00B57097" w:rsidRDefault="00B57097" w:rsidP="00B57097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097" w:rsidRDefault="00B57097" w:rsidP="00B57097">
      <w:pPr>
        <w:pStyle w:val="a3"/>
        <w:numPr>
          <w:ilvl w:val="1"/>
          <w:numId w:val="1"/>
        </w:numPr>
        <w:spacing w:after="0" w:line="276" w:lineRule="auto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потребителей услуг АО «Янтарьэнерго»:</w:t>
      </w:r>
    </w:p>
    <w:p w:rsidR="00113C7C" w:rsidRDefault="00113C7C" w:rsidP="00113C7C">
      <w:pPr>
        <w:pStyle w:val="a3"/>
        <w:spacing w:after="0" w:line="276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8900" w:type="dxa"/>
        <w:tblLook w:val="04A0" w:firstRow="1" w:lastRow="0" w:firstColumn="1" w:lastColumn="0" w:noHBand="0" w:noVBand="1"/>
      </w:tblPr>
      <w:tblGrid>
        <w:gridCol w:w="2200"/>
        <w:gridCol w:w="1480"/>
        <w:gridCol w:w="920"/>
        <w:gridCol w:w="920"/>
        <w:gridCol w:w="1540"/>
        <w:gridCol w:w="920"/>
        <w:gridCol w:w="920"/>
      </w:tblGrid>
      <w:tr w:rsidR="00113C7C" w:rsidRPr="00113C7C" w:rsidTr="00EA1057">
        <w:trPr>
          <w:trHeight w:val="58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Тип потребителя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113C7C" w:rsidRPr="00EA1057" w:rsidRDefault="00EA105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Уровень напр</w:t>
            </w:r>
            <w:r w:rsidR="00113C7C" w:rsidRPr="00EA1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яжения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Категория надежности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</w:tr>
      <w:tr w:rsidR="00113C7C" w:rsidRPr="00113C7C" w:rsidTr="00113C7C">
        <w:trPr>
          <w:trHeight w:val="58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13C7C" w:rsidRPr="00113C7C" w:rsidTr="00113C7C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кат.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13C7C" w:rsidRPr="00113C7C" w:rsidTr="00113C7C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кат.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57586</w:t>
            </w:r>
          </w:p>
        </w:tc>
      </w:tr>
      <w:tr w:rsidR="00113C7C" w:rsidRPr="00113C7C" w:rsidTr="00113C7C">
        <w:trPr>
          <w:trHeight w:val="58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13C7C" w:rsidRPr="00113C7C" w:rsidTr="00113C7C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кат.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  <w:tr w:rsidR="00113C7C" w:rsidRPr="00113C7C" w:rsidTr="00113C7C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кат.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27884</w:t>
            </w:r>
          </w:p>
        </w:tc>
      </w:tr>
      <w:tr w:rsidR="00113C7C" w:rsidRPr="00113C7C" w:rsidTr="00113C7C">
        <w:trPr>
          <w:trHeight w:val="5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83375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85986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83375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85986</w:t>
            </w:r>
          </w:p>
        </w:tc>
      </w:tr>
    </w:tbl>
    <w:p w:rsidR="00B57097" w:rsidRDefault="00B57097" w:rsidP="00B57097">
      <w:pPr>
        <w:pStyle w:val="a3"/>
        <w:spacing w:after="0" w:line="276" w:lineRule="auto"/>
        <w:ind w:left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B57097" w:rsidRDefault="00B57097" w:rsidP="00B57097">
      <w:pPr>
        <w:pStyle w:val="a3"/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097" w:rsidRDefault="00B57097" w:rsidP="00B57097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точек поставки, оборудованных приборами учета:</w:t>
      </w:r>
    </w:p>
    <w:p w:rsidR="00113C7C" w:rsidRDefault="00113C7C" w:rsidP="00113C7C">
      <w:pPr>
        <w:pStyle w:val="a3"/>
        <w:spacing w:after="0" w:line="276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4631" w:type="dxa"/>
        <w:tblLook w:val="04A0" w:firstRow="1" w:lastRow="0" w:firstColumn="1" w:lastColumn="0" w:noHBand="0" w:noVBand="1"/>
      </w:tblPr>
      <w:tblGrid>
        <w:gridCol w:w="2200"/>
        <w:gridCol w:w="1480"/>
        <w:gridCol w:w="951"/>
      </w:tblGrid>
      <w:tr w:rsidR="00113C7C" w:rsidRPr="00113C7C" w:rsidTr="00EA1057">
        <w:trPr>
          <w:trHeight w:val="63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113C7C" w:rsidRPr="00EA1057" w:rsidRDefault="00113C7C" w:rsidP="00EA1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EA1057">
              <w:rPr>
                <w:rFonts w:ascii="Times New Roman" w:hAnsi="Times New Roman" w:cs="Times New Roman"/>
                <w:b/>
                <w:noProof/>
                <w:sz w:val="20"/>
              </w:rPr>
              <w:t>Точки поставки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113C7C" w:rsidRPr="00EA1057" w:rsidRDefault="00113C7C" w:rsidP="00EA1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EA1057">
              <w:rPr>
                <w:rFonts w:ascii="Times New Roman" w:hAnsi="Times New Roman" w:cs="Times New Roman"/>
                <w:b/>
                <w:noProof/>
                <w:sz w:val="20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113C7C" w:rsidRPr="00EA1057" w:rsidRDefault="00113C7C" w:rsidP="00EA1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EA1057">
              <w:rPr>
                <w:rFonts w:ascii="Times New Roman" w:hAnsi="Times New Roman" w:cs="Times New Roman"/>
                <w:b/>
                <w:noProof/>
                <w:sz w:val="20"/>
              </w:rPr>
              <w:t>2016</w:t>
            </w:r>
          </w:p>
        </w:tc>
      </w:tr>
      <w:tr w:rsidR="00113C7C" w:rsidRPr="00113C7C" w:rsidTr="00113C7C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физическим лицам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54562</w:t>
            </w:r>
          </w:p>
        </w:tc>
      </w:tr>
      <w:tr w:rsidR="00113C7C" w:rsidRPr="00113C7C" w:rsidTr="00113C7C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юридическим лицам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32833</w:t>
            </w:r>
          </w:p>
        </w:tc>
      </w:tr>
      <w:tr w:rsidR="00113C7C" w:rsidRPr="00113C7C" w:rsidTr="00113C7C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ВРУ МКД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19660</w:t>
            </w:r>
          </w:p>
        </w:tc>
      </w:tr>
      <w:tr w:rsidR="00113C7C" w:rsidRPr="00113C7C" w:rsidTr="00113C7C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Технический учет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5776</w:t>
            </w:r>
          </w:p>
        </w:tc>
      </w:tr>
      <w:tr w:rsidR="00113C7C" w:rsidRPr="00113C7C" w:rsidTr="00113C7C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точек поставки: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111576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112831</w:t>
            </w:r>
          </w:p>
        </w:tc>
      </w:tr>
      <w:tr w:rsidR="00113C7C" w:rsidRPr="00113C7C" w:rsidTr="00113C7C">
        <w:trPr>
          <w:trHeight w:val="142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оборудованы приборами с дистанционным сбором показаний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7C" w:rsidRPr="00EA1057" w:rsidRDefault="00113C7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19335</w:t>
            </w:r>
          </w:p>
        </w:tc>
      </w:tr>
    </w:tbl>
    <w:p w:rsidR="00113C7C" w:rsidRDefault="00113C7C" w:rsidP="00113C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13C7C" w:rsidRPr="00EA1057" w:rsidRDefault="00113C7C" w:rsidP="00113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числе, выявлено 54 бесхозяйных объектов электросетевого хозяйства.</w:t>
      </w:r>
    </w:p>
    <w:p w:rsidR="00B57097" w:rsidRDefault="00B35ECE" w:rsidP="00B35ECE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объектах электросетевого хозяйства:</w:t>
      </w:r>
    </w:p>
    <w:p w:rsidR="0004740E" w:rsidRPr="00BC2690" w:rsidRDefault="0004740E" w:rsidP="00BC2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690">
        <w:rPr>
          <w:rFonts w:ascii="Times New Roman" w:hAnsi="Times New Roman" w:cs="Times New Roman"/>
          <w:sz w:val="28"/>
          <w:szCs w:val="28"/>
        </w:rPr>
        <w:t>1. Воздушные электросети</w:t>
      </w:r>
      <w:r w:rsidR="00BC269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0"/>
        <w:gridCol w:w="2794"/>
        <w:gridCol w:w="2795"/>
      </w:tblGrid>
      <w:tr w:rsidR="0004740E" w:rsidTr="00BC2690">
        <w:trPr>
          <w:cantSplit/>
          <w:trHeight w:val="233"/>
          <w:jc w:val="center"/>
        </w:trPr>
        <w:tc>
          <w:tcPr>
            <w:tcW w:w="3910" w:type="dxa"/>
            <w:vMerge w:val="restart"/>
            <w:shd w:val="clear" w:color="auto" w:fill="B4C6E7" w:themeFill="accent5" w:themeFillTint="66"/>
            <w:vAlign w:val="center"/>
          </w:tcPr>
          <w:p w:rsidR="0004740E" w:rsidRPr="00EA1057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Электросети по напряжению</w:t>
            </w:r>
          </w:p>
        </w:tc>
        <w:tc>
          <w:tcPr>
            <w:tcW w:w="5589" w:type="dxa"/>
            <w:gridSpan w:val="2"/>
            <w:shd w:val="clear" w:color="auto" w:fill="B4C6E7" w:themeFill="accent5" w:themeFillTint="66"/>
          </w:tcPr>
          <w:p w:rsidR="0004740E" w:rsidRPr="00EA1057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Состоит на конец отчетного года по цепям, км</w:t>
            </w:r>
          </w:p>
        </w:tc>
      </w:tr>
      <w:tr w:rsidR="0004740E" w:rsidTr="00BC2690">
        <w:trPr>
          <w:cantSplit/>
          <w:trHeight w:val="248"/>
          <w:jc w:val="center"/>
        </w:trPr>
        <w:tc>
          <w:tcPr>
            <w:tcW w:w="3910" w:type="dxa"/>
            <w:vMerge/>
            <w:shd w:val="clear" w:color="auto" w:fill="B4C6E7" w:themeFill="accent5" w:themeFillTint="66"/>
          </w:tcPr>
          <w:p w:rsidR="0004740E" w:rsidRPr="00EA1057" w:rsidRDefault="0004740E" w:rsidP="00BC269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4" w:type="dxa"/>
            <w:shd w:val="clear" w:color="auto" w:fill="B4C6E7" w:themeFill="accent5" w:themeFillTint="66"/>
          </w:tcPr>
          <w:p w:rsidR="0004740E" w:rsidRPr="00EA1057" w:rsidRDefault="00EA1057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2015</w:t>
            </w:r>
            <w:r w:rsidR="0004740E" w:rsidRPr="00EA1057">
              <w:rPr>
                <w:rFonts w:ascii="Times New Roman" w:hAnsi="Times New Roman" w:cs="Times New Roman"/>
                <w:b/>
                <w:noProof/>
              </w:rPr>
              <w:t xml:space="preserve"> год</w:t>
            </w:r>
          </w:p>
        </w:tc>
        <w:tc>
          <w:tcPr>
            <w:tcW w:w="2795" w:type="dxa"/>
            <w:shd w:val="clear" w:color="auto" w:fill="B4C6E7" w:themeFill="accent5" w:themeFillTint="66"/>
          </w:tcPr>
          <w:p w:rsidR="0004740E" w:rsidRPr="00EA1057" w:rsidRDefault="00EA1057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2016</w:t>
            </w:r>
            <w:r w:rsidR="0004740E" w:rsidRPr="00EA1057">
              <w:rPr>
                <w:rFonts w:ascii="Times New Roman" w:hAnsi="Times New Roman" w:cs="Times New Roman"/>
                <w:b/>
                <w:noProof/>
              </w:rPr>
              <w:t xml:space="preserve"> год</w:t>
            </w:r>
          </w:p>
        </w:tc>
      </w:tr>
      <w:tr w:rsidR="00113C7C" w:rsidTr="00113C7C">
        <w:trPr>
          <w:trHeight w:val="498"/>
          <w:jc w:val="center"/>
        </w:trPr>
        <w:tc>
          <w:tcPr>
            <w:tcW w:w="3910" w:type="dxa"/>
          </w:tcPr>
          <w:p w:rsidR="00113C7C" w:rsidRPr="00EA1057" w:rsidRDefault="00113C7C" w:rsidP="00113C7C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1. От 10 кВ и выше:</w:t>
            </w:r>
          </w:p>
          <w:p w:rsidR="00113C7C" w:rsidRPr="00EA1057" w:rsidRDefault="00113C7C" w:rsidP="00113C7C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1150 кВ</w:t>
            </w:r>
          </w:p>
        </w:tc>
        <w:tc>
          <w:tcPr>
            <w:tcW w:w="2794" w:type="dxa"/>
          </w:tcPr>
          <w:p w:rsidR="00113C7C" w:rsidRPr="00EA1057" w:rsidRDefault="00113C7C" w:rsidP="00113C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:rsidR="00113C7C" w:rsidRPr="00EA1057" w:rsidRDefault="00113C7C" w:rsidP="00113C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C7C" w:rsidTr="0004740E">
        <w:trPr>
          <w:trHeight w:val="233"/>
          <w:jc w:val="center"/>
        </w:trPr>
        <w:tc>
          <w:tcPr>
            <w:tcW w:w="3910" w:type="dxa"/>
          </w:tcPr>
          <w:p w:rsidR="00113C7C" w:rsidRPr="00EA1057" w:rsidRDefault="00113C7C" w:rsidP="00113C7C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330 кВ</w:t>
            </w:r>
          </w:p>
        </w:tc>
        <w:tc>
          <w:tcPr>
            <w:tcW w:w="2794" w:type="dxa"/>
          </w:tcPr>
          <w:p w:rsidR="00113C7C" w:rsidRPr="00EA1057" w:rsidRDefault="00113C7C" w:rsidP="00113C7C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795" w:type="dxa"/>
          </w:tcPr>
          <w:p w:rsidR="00113C7C" w:rsidRPr="00EA1057" w:rsidRDefault="00113C7C" w:rsidP="00113C7C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224</w:t>
            </w:r>
          </w:p>
        </w:tc>
      </w:tr>
      <w:tr w:rsidR="00113C7C" w:rsidTr="0004740E">
        <w:trPr>
          <w:trHeight w:val="233"/>
          <w:jc w:val="center"/>
        </w:trPr>
        <w:tc>
          <w:tcPr>
            <w:tcW w:w="3910" w:type="dxa"/>
          </w:tcPr>
          <w:p w:rsidR="00113C7C" w:rsidRPr="00EA1057" w:rsidRDefault="00113C7C" w:rsidP="00113C7C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110 кВ</w:t>
            </w:r>
          </w:p>
        </w:tc>
        <w:tc>
          <w:tcPr>
            <w:tcW w:w="2794" w:type="dxa"/>
          </w:tcPr>
          <w:p w:rsidR="00113C7C" w:rsidRPr="00EA1057" w:rsidRDefault="00113C7C" w:rsidP="00113C7C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1604</w:t>
            </w:r>
          </w:p>
        </w:tc>
        <w:tc>
          <w:tcPr>
            <w:tcW w:w="2795" w:type="dxa"/>
          </w:tcPr>
          <w:p w:rsidR="00113C7C" w:rsidRPr="00EA1057" w:rsidRDefault="00113C7C" w:rsidP="00113C7C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1604</w:t>
            </w:r>
          </w:p>
        </w:tc>
      </w:tr>
      <w:tr w:rsidR="00113C7C" w:rsidTr="0004740E">
        <w:trPr>
          <w:trHeight w:val="233"/>
          <w:jc w:val="center"/>
        </w:trPr>
        <w:tc>
          <w:tcPr>
            <w:tcW w:w="3910" w:type="dxa"/>
          </w:tcPr>
          <w:p w:rsidR="00113C7C" w:rsidRPr="00EA1057" w:rsidRDefault="00113C7C" w:rsidP="00113C7C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60 кВ</w:t>
            </w:r>
          </w:p>
        </w:tc>
        <w:tc>
          <w:tcPr>
            <w:tcW w:w="2794" w:type="dxa"/>
          </w:tcPr>
          <w:p w:rsidR="00113C7C" w:rsidRPr="00EA1057" w:rsidRDefault="00113C7C" w:rsidP="00113C7C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95" w:type="dxa"/>
          </w:tcPr>
          <w:p w:rsidR="00113C7C" w:rsidRPr="00EA1057" w:rsidRDefault="00113C7C" w:rsidP="00113C7C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85</w:t>
            </w:r>
          </w:p>
        </w:tc>
      </w:tr>
      <w:tr w:rsidR="00113C7C" w:rsidTr="0004740E">
        <w:trPr>
          <w:trHeight w:val="233"/>
          <w:jc w:val="center"/>
        </w:trPr>
        <w:tc>
          <w:tcPr>
            <w:tcW w:w="3910" w:type="dxa"/>
          </w:tcPr>
          <w:p w:rsidR="00113C7C" w:rsidRPr="00EA1057" w:rsidRDefault="00113C7C" w:rsidP="00113C7C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15 кВ</w:t>
            </w:r>
          </w:p>
        </w:tc>
        <w:tc>
          <w:tcPr>
            <w:tcW w:w="2794" w:type="dxa"/>
          </w:tcPr>
          <w:p w:rsidR="00113C7C" w:rsidRPr="00EA1057" w:rsidRDefault="00113C7C" w:rsidP="00113C7C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5529</w:t>
            </w:r>
          </w:p>
        </w:tc>
        <w:tc>
          <w:tcPr>
            <w:tcW w:w="2795" w:type="dxa"/>
          </w:tcPr>
          <w:p w:rsidR="00113C7C" w:rsidRPr="00EA1057" w:rsidRDefault="00113C7C" w:rsidP="00113C7C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5543</w:t>
            </w:r>
          </w:p>
        </w:tc>
      </w:tr>
      <w:tr w:rsidR="00113C7C" w:rsidTr="0004740E">
        <w:trPr>
          <w:trHeight w:val="233"/>
          <w:jc w:val="center"/>
        </w:trPr>
        <w:tc>
          <w:tcPr>
            <w:tcW w:w="3910" w:type="dxa"/>
          </w:tcPr>
          <w:p w:rsidR="00113C7C" w:rsidRPr="00EA1057" w:rsidRDefault="00113C7C" w:rsidP="00113C7C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10 кВ</w:t>
            </w:r>
          </w:p>
        </w:tc>
        <w:tc>
          <w:tcPr>
            <w:tcW w:w="2794" w:type="dxa"/>
          </w:tcPr>
          <w:p w:rsidR="00113C7C" w:rsidRPr="00EA1057" w:rsidRDefault="00113C7C" w:rsidP="00113C7C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95" w:type="dxa"/>
          </w:tcPr>
          <w:p w:rsidR="00113C7C" w:rsidRPr="00EA1057" w:rsidRDefault="00113C7C" w:rsidP="00113C7C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63</w:t>
            </w:r>
          </w:p>
        </w:tc>
      </w:tr>
      <w:tr w:rsidR="00113C7C" w:rsidTr="0004740E">
        <w:trPr>
          <w:trHeight w:val="233"/>
          <w:jc w:val="center"/>
        </w:trPr>
        <w:tc>
          <w:tcPr>
            <w:tcW w:w="3910" w:type="dxa"/>
          </w:tcPr>
          <w:p w:rsidR="00113C7C" w:rsidRPr="00EA1057" w:rsidRDefault="00113C7C" w:rsidP="00113C7C">
            <w:pPr>
              <w:spacing w:line="240" w:lineRule="auto"/>
              <w:ind w:left="284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Итого</w:t>
            </w:r>
          </w:p>
        </w:tc>
        <w:tc>
          <w:tcPr>
            <w:tcW w:w="2794" w:type="dxa"/>
          </w:tcPr>
          <w:p w:rsidR="00113C7C" w:rsidRPr="00EA1057" w:rsidRDefault="00113C7C" w:rsidP="00113C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</w:rPr>
              <w:t>7504</w:t>
            </w:r>
          </w:p>
        </w:tc>
        <w:tc>
          <w:tcPr>
            <w:tcW w:w="2795" w:type="dxa"/>
          </w:tcPr>
          <w:p w:rsidR="00113C7C" w:rsidRPr="00EA1057" w:rsidRDefault="00113C7C" w:rsidP="00113C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</w:rPr>
              <w:t>7518</w:t>
            </w:r>
          </w:p>
        </w:tc>
      </w:tr>
      <w:tr w:rsidR="00113C7C" w:rsidTr="0004740E">
        <w:trPr>
          <w:trHeight w:val="466"/>
          <w:jc w:val="center"/>
        </w:trPr>
        <w:tc>
          <w:tcPr>
            <w:tcW w:w="3910" w:type="dxa"/>
          </w:tcPr>
          <w:p w:rsidR="00113C7C" w:rsidRPr="00EA1057" w:rsidRDefault="00113C7C" w:rsidP="00113C7C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2. Ниже 10 кВ: 6 кВ</w:t>
            </w:r>
          </w:p>
        </w:tc>
        <w:tc>
          <w:tcPr>
            <w:tcW w:w="2794" w:type="dxa"/>
            <w:vAlign w:val="bottom"/>
          </w:tcPr>
          <w:p w:rsidR="00113C7C" w:rsidRPr="00EA1057" w:rsidRDefault="00113C7C" w:rsidP="00113C7C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95" w:type="dxa"/>
            <w:vAlign w:val="bottom"/>
          </w:tcPr>
          <w:p w:rsidR="00113C7C" w:rsidRPr="00EA1057" w:rsidRDefault="00113C7C" w:rsidP="00113C7C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35</w:t>
            </w:r>
          </w:p>
        </w:tc>
      </w:tr>
      <w:tr w:rsidR="00113C7C" w:rsidTr="0004740E">
        <w:trPr>
          <w:trHeight w:val="233"/>
          <w:jc w:val="center"/>
        </w:trPr>
        <w:tc>
          <w:tcPr>
            <w:tcW w:w="3910" w:type="dxa"/>
          </w:tcPr>
          <w:p w:rsidR="00113C7C" w:rsidRPr="00EA1057" w:rsidRDefault="00113C7C" w:rsidP="00113C7C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500 вольт и ниже</w:t>
            </w:r>
          </w:p>
        </w:tc>
        <w:tc>
          <w:tcPr>
            <w:tcW w:w="2794" w:type="dxa"/>
          </w:tcPr>
          <w:p w:rsidR="00113C7C" w:rsidRPr="00EA1057" w:rsidRDefault="00113C7C" w:rsidP="00113C7C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4556</w:t>
            </w:r>
          </w:p>
        </w:tc>
        <w:tc>
          <w:tcPr>
            <w:tcW w:w="2795" w:type="dxa"/>
          </w:tcPr>
          <w:p w:rsidR="00113C7C" w:rsidRPr="00EA1057" w:rsidRDefault="00113C7C" w:rsidP="00113C7C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4650</w:t>
            </w:r>
          </w:p>
        </w:tc>
      </w:tr>
      <w:tr w:rsidR="00113C7C" w:rsidTr="0004740E">
        <w:trPr>
          <w:trHeight w:val="233"/>
          <w:jc w:val="center"/>
        </w:trPr>
        <w:tc>
          <w:tcPr>
            <w:tcW w:w="3910" w:type="dxa"/>
          </w:tcPr>
          <w:p w:rsidR="00113C7C" w:rsidRPr="00EA1057" w:rsidRDefault="00113C7C" w:rsidP="00113C7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Итого </w:t>
            </w:r>
          </w:p>
        </w:tc>
        <w:tc>
          <w:tcPr>
            <w:tcW w:w="2794" w:type="dxa"/>
          </w:tcPr>
          <w:p w:rsidR="00113C7C" w:rsidRPr="00EA1057" w:rsidRDefault="00113C7C" w:rsidP="00113C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</w:rPr>
              <w:t>4592</w:t>
            </w:r>
          </w:p>
        </w:tc>
        <w:tc>
          <w:tcPr>
            <w:tcW w:w="2795" w:type="dxa"/>
          </w:tcPr>
          <w:p w:rsidR="00113C7C" w:rsidRPr="00EA1057" w:rsidRDefault="00113C7C" w:rsidP="00113C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</w:rPr>
              <w:t>4685</w:t>
            </w:r>
          </w:p>
        </w:tc>
      </w:tr>
      <w:tr w:rsidR="00113C7C" w:rsidTr="0004740E">
        <w:trPr>
          <w:trHeight w:val="248"/>
          <w:jc w:val="center"/>
        </w:trPr>
        <w:tc>
          <w:tcPr>
            <w:tcW w:w="3910" w:type="dxa"/>
          </w:tcPr>
          <w:p w:rsidR="00113C7C" w:rsidRPr="00EA1057" w:rsidRDefault="00113C7C" w:rsidP="00113C7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Всего </w:t>
            </w:r>
          </w:p>
        </w:tc>
        <w:tc>
          <w:tcPr>
            <w:tcW w:w="2794" w:type="dxa"/>
          </w:tcPr>
          <w:p w:rsidR="00113C7C" w:rsidRPr="00EA1057" w:rsidRDefault="00113C7C" w:rsidP="00113C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</w:rPr>
              <w:t>12096</w:t>
            </w:r>
          </w:p>
        </w:tc>
        <w:tc>
          <w:tcPr>
            <w:tcW w:w="2795" w:type="dxa"/>
          </w:tcPr>
          <w:p w:rsidR="00113C7C" w:rsidRPr="00EA1057" w:rsidRDefault="00113C7C" w:rsidP="00113C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</w:rPr>
              <w:t>12203</w:t>
            </w:r>
          </w:p>
        </w:tc>
      </w:tr>
    </w:tbl>
    <w:p w:rsidR="0004740E" w:rsidRPr="00BC2690" w:rsidRDefault="0004740E" w:rsidP="00BC2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690">
        <w:rPr>
          <w:rFonts w:ascii="Times New Roman" w:hAnsi="Times New Roman" w:cs="Times New Roman"/>
          <w:sz w:val="28"/>
          <w:szCs w:val="28"/>
        </w:rPr>
        <w:t>2. Кабельные электросети</w:t>
      </w:r>
      <w:r>
        <w:rPr>
          <w:sz w:val="20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835"/>
        <w:gridCol w:w="2884"/>
      </w:tblGrid>
      <w:tr w:rsidR="0004740E" w:rsidTr="00BC2690">
        <w:trPr>
          <w:trHeight w:val="454"/>
          <w:jc w:val="center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4740E" w:rsidRPr="00EA1057" w:rsidRDefault="0004740E" w:rsidP="00047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Электросети по напряжению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4740E" w:rsidRPr="00EA1057" w:rsidRDefault="0004740E" w:rsidP="0004740E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Состоит на конец отчетного года по цепям, км</w:t>
            </w:r>
          </w:p>
        </w:tc>
      </w:tr>
      <w:tr w:rsidR="00EA1057" w:rsidTr="00BC2690">
        <w:trPr>
          <w:trHeight w:val="141"/>
          <w:jc w:val="center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EA1057" w:rsidRPr="00EA1057" w:rsidRDefault="00EA1057" w:rsidP="00EA105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EA1057" w:rsidRPr="00EA1057" w:rsidRDefault="00EA1057" w:rsidP="00EA105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2015 год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EA1057" w:rsidRPr="00EA1057" w:rsidRDefault="00EA1057" w:rsidP="00EA105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2016 год</w:t>
            </w:r>
          </w:p>
        </w:tc>
      </w:tr>
      <w:tr w:rsidR="00EA1057" w:rsidTr="0004740E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57" w:rsidRPr="00EA1057" w:rsidRDefault="00EA1057" w:rsidP="00EA1057">
            <w:pPr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20 кВ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7" w:rsidRPr="00EA1057" w:rsidRDefault="00EA1057" w:rsidP="00EA1057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7" w:rsidRPr="00EA1057" w:rsidRDefault="00EA1057" w:rsidP="00EA1057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296</w:t>
            </w:r>
          </w:p>
        </w:tc>
      </w:tr>
      <w:tr w:rsidR="00EA1057" w:rsidTr="0004740E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57" w:rsidRPr="00EA1057" w:rsidRDefault="00EA1057" w:rsidP="00EA1057">
            <w:pPr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10 кВ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7" w:rsidRPr="00EA1057" w:rsidRDefault="00EA1057" w:rsidP="00EA1057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7" w:rsidRPr="00EA1057" w:rsidRDefault="00EA1057" w:rsidP="00EA1057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697</w:t>
            </w:r>
          </w:p>
        </w:tc>
      </w:tr>
      <w:tr w:rsidR="00EA1057" w:rsidTr="0004740E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57" w:rsidRPr="00EA1057" w:rsidRDefault="00EA1057" w:rsidP="00EA1057">
            <w:pPr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6 кВ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7" w:rsidRPr="00EA1057" w:rsidRDefault="00EA1057" w:rsidP="00EA1057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7" w:rsidRPr="00EA1057" w:rsidRDefault="00EA1057" w:rsidP="00EA1057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349</w:t>
            </w:r>
          </w:p>
        </w:tc>
      </w:tr>
      <w:tr w:rsidR="00EA1057" w:rsidTr="0004740E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57" w:rsidRPr="00EA1057" w:rsidRDefault="00EA1057" w:rsidP="00EA1057">
            <w:pPr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500 вольт и ниже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7" w:rsidRPr="00EA1057" w:rsidRDefault="00EA1057" w:rsidP="00EA1057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7" w:rsidRPr="00EA1057" w:rsidRDefault="00EA1057" w:rsidP="00EA1057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925</w:t>
            </w:r>
          </w:p>
        </w:tc>
      </w:tr>
      <w:tr w:rsidR="00EA1057" w:rsidTr="0004740E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57" w:rsidRPr="00EA1057" w:rsidRDefault="00EA1057" w:rsidP="00EA1057">
            <w:pPr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Итого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7" w:rsidRPr="00EA1057" w:rsidRDefault="00EA1057" w:rsidP="00EA10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</w:rPr>
              <w:t>2207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7" w:rsidRPr="00EA1057" w:rsidRDefault="00EA1057" w:rsidP="00EA10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</w:rPr>
              <w:t>2268</w:t>
            </w:r>
          </w:p>
        </w:tc>
      </w:tr>
    </w:tbl>
    <w:p w:rsidR="0004740E" w:rsidRPr="00BC2690" w:rsidRDefault="0004740E" w:rsidP="00BC2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690">
        <w:rPr>
          <w:rFonts w:ascii="Times New Roman" w:hAnsi="Times New Roman" w:cs="Times New Roman"/>
          <w:sz w:val="28"/>
          <w:szCs w:val="28"/>
        </w:rPr>
        <w:t xml:space="preserve">  </w:t>
      </w:r>
      <w:r w:rsidR="00BC2690">
        <w:rPr>
          <w:rFonts w:ascii="Times New Roman" w:hAnsi="Times New Roman" w:cs="Times New Roman"/>
          <w:sz w:val="28"/>
          <w:szCs w:val="28"/>
        </w:rPr>
        <w:t>3. Подстанции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0"/>
        <w:gridCol w:w="2794"/>
        <w:gridCol w:w="2795"/>
      </w:tblGrid>
      <w:tr w:rsidR="0004740E" w:rsidRPr="00BC2690" w:rsidTr="00BC2690">
        <w:trPr>
          <w:cantSplit/>
          <w:trHeight w:val="233"/>
          <w:jc w:val="center"/>
        </w:trPr>
        <w:tc>
          <w:tcPr>
            <w:tcW w:w="3910" w:type="dxa"/>
            <w:vMerge w:val="restart"/>
            <w:shd w:val="clear" w:color="auto" w:fill="B4C6E7" w:themeFill="accent5" w:themeFillTint="66"/>
            <w:vAlign w:val="center"/>
          </w:tcPr>
          <w:p w:rsidR="0004740E" w:rsidRPr="00EA1057" w:rsidRDefault="0004740E" w:rsidP="00047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Подстанции по напряжению</w:t>
            </w:r>
          </w:p>
        </w:tc>
        <w:tc>
          <w:tcPr>
            <w:tcW w:w="5589" w:type="dxa"/>
            <w:gridSpan w:val="2"/>
            <w:shd w:val="clear" w:color="auto" w:fill="B4C6E7" w:themeFill="accent5" w:themeFillTint="66"/>
          </w:tcPr>
          <w:p w:rsidR="0004740E" w:rsidRPr="00EA1057" w:rsidRDefault="0004740E" w:rsidP="00047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Состоит на конец отчетного года </w:t>
            </w:r>
          </w:p>
        </w:tc>
      </w:tr>
      <w:tr w:rsidR="00EA1057" w:rsidRPr="00BC2690" w:rsidTr="00BC2690">
        <w:trPr>
          <w:cantSplit/>
          <w:trHeight w:val="248"/>
          <w:jc w:val="center"/>
        </w:trPr>
        <w:tc>
          <w:tcPr>
            <w:tcW w:w="3910" w:type="dxa"/>
            <w:vMerge/>
            <w:shd w:val="clear" w:color="auto" w:fill="B4C6E7" w:themeFill="accent5" w:themeFillTint="66"/>
          </w:tcPr>
          <w:p w:rsidR="00EA1057" w:rsidRPr="00EA1057" w:rsidRDefault="00EA1057" w:rsidP="00EA10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4" w:type="dxa"/>
            <w:shd w:val="clear" w:color="auto" w:fill="B4C6E7" w:themeFill="accent5" w:themeFillTint="66"/>
          </w:tcPr>
          <w:p w:rsidR="00EA1057" w:rsidRPr="00EA1057" w:rsidRDefault="00EA1057" w:rsidP="00EA10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2015 год</w:t>
            </w:r>
          </w:p>
        </w:tc>
        <w:tc>
          <w:tcPr>
            <w:tcW w:w="2795" w:type="dxa"/>
            <w:shd w:val="clear" w:color="auto" w:fill="B4C6E7" w:themeFill="accent5" w:themeFillTint="66"/>
          </w:tcPr>
          <w:p w:rsidR="00EA1057" w:rsidRPr="00EA1057" w:rsidRDefault="00EA1057" w:rsidP="00EA1057">
            <w:pPr>
              <w:jc w:val="center"/>
              <w:rPr>
                <w:b/>
              </w:rPr>
            </w:pPr>
            <w:r w:rsidRPr="00EA1057">
              <w:rPr>
                <w:b/>
                <w:noProof/>
              </w:rPr>
              <w:t>2016 год</w:t>
            </w:r>
          </w:p>
        </w:tc>
      </w:tr>
      <w:tr w:rsidR="00EA1057" w:rsidRPr="00BC2690" w:rsidTr="0004740E">
        <w:trPr>
          <w:trHeight w:val="233"/>
          <w:jc w:val="center"/>
        </w:trPr>
        <w:tc>
          <w:tcPr>
            <w:tcW w:w="3910" w:type="dxa"/>
          </w:tcPr>
          <w:p w:rsidR="00EA1057" w:rsidRPr="00EA1057" w:rsidRDefault="00EA1057" w:rsidP="00EA1057">
            <w:pPr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330 кВ</w:t>
            </w:r>
          </w:p>
        </w:tc>
        <w:tc>
          <w:tcPr>
            <w:tcW w:w="2794" w:type="dxa"/>
          </w:tcPr>
          <w:p w:rsidR="00EA1057" w:rsidRPr="00EA1057" w:rsidRDefault="00EA1057" w:rsidP="00EA1057">
            <w:pPr>
              <w:jc w:val="center"/>
            </w:pPr>
            <w:r w:rsidRPr="00EA1057">
              <w:t>2</w:t>
            </w:r>
          </w:p>
        </w:tc>
        <w:tc>
          <w:tcPr>
            <w:tcW w:w="2795" w:type="dxa"/>
          </w:tcPr>
          <w:p w:rsidR="00EA1057" w:rsidRPr="00EA1057" w:rsidRDefault="00EA1057" w:rsidP="00EA1057">
            <w:pPr>
              <w:jc w:val="center"/>
            </w:pPr>
            <w:r w:rsidRPr="00EA1057">
              <w:t>2</w:t>
            </w:r>
          </w:p>
        </w:tc>
      </w:tr>
      <w:tr w:rsidR="00EA1057" w:rsidRPr="00BC2690" w:rsidTr="0004740E">
        <w:trPr>
          <w:trHeight w:val="233"/>
          <w:jc w:val="center"/>
        </w:trPr>
        <w:tc>
          <w:tcPr>
            <w:tcW w:w="3910" w:type="dxa"/>
          </w:tcPr>
          <w:p w:rsidR="00EA1057" w:rsidRPr="00EA1057" w:rsidRDefault="00EA1057" w:rsidP="00EA1057">
            <w:pPr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60-110 кВ</w:t>
            </w:r>
          </w:p>
        </w:tc>
        <w:tc>
          <w:tcPr>
            <w:tcW w:w="2794" w:type="dxa"/>
          </w:tcPr>
          <w:p w:rsidR="00EA1057" w:rsidRPr="00EA1057" w:rsidRDefault="00EA1057" w:rsidP="00EA1057">
            <w:pPr>
              <w:jc w:val="center"/>
            </w:pPr>
            <w:r w:rsidRPr="00EA1057">
              <w:t>46</w:t>
            </w:r>
          </w:p>
        </w:tc>
        <w:tc>
          <w:tcPr>
            <w:tcW w:w="2795" w:type="dxa"/>
          </w:tcPr>
          <w:p w:rsidR="00EA1057" w:rsidRPr="00EA1057" w:rsidRDefault="00EA1057" w:rsidP="00EA1057">
            <w:pPr>
              <w:jc w:val="center"/>
            </w:pPr>
            <w:r w:rsidRPr="00EA1057">
              <w:t>45</w:t>
            </w:r>
          </w:p>
        </w:tc>
      </w:tr>
      <w:tr w:rsidR="00EA1057" w:rsidRPr="00BC2690" w:rsidTr="0004740E">
        <w:trPr>
          <w:trHeight w:val="233"/>
          <w:jc w:val="center"/>
        </w:trPr>
        <w:tc>
          <w:tcPr>
            <w:tcW w:w="3910" w:type="dxa"/>
          </w:tcPr>
          <w:p w:rsidR="00EA1057" w:rsidRPr="00EA1057" w:rsidRDefault="00EA1057" w:rsidP="00EA1057">
            <w:pPr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1-20 кВ</w:t>
            </w:r>
          </w:p>
        </w:tc>
        <w:tc>
          <w:tcPr>
            <w:tcW w:w="2794" w:type="dxa"/>
          </w:tcPr>
          <w:p w:rsidR="00EA1057" w:rsidRPr="00EA1057" w:rsidRDefault="00EA1057" w:rsidP="00EA1057">
            <w:pPr>
              <w:jc w:val="center"/>
            </w:pPr>
            <w:r w:rsidRPr="00EA1057">
              <w:t>4030</w:t>
            </w:r>
          </w:p>
        </w:tc>
        <w:tc>
          <w:tcPr>
            <w:tcW w:w="2795" w:type="dxa"/>
          </w:tcPr>
          <w:p w:rsidR="00EA1057" w:rsidRPr="00EA1057" w:rsidRDefault="00EA1057" w:rsidP="00EA1057">
            <w:pPr>
              <w:jc w:val="center"/>
            </w:pPr>
            <w:r w:rsidRPr="00EA1057">
              <w:t>4118</w:t>
            </w:r>
          </w:p>
        </w:tc>
      </w:tr>
      <w:tr w:rsidR="00EA1057" w:rsidRPr="00BC2690" w:rsidTr="0004740E">
        <w:trPr>
          <w:trHeight w:val="248"/>
          <w:jc w:val="center"/>
        </w:trPr>
        <w:tc>
          <w:tcPr>
            <w:tcW w:w="3910" w:type="dxa"/>
          </w:tcPr>
          <w:p w:rsidR="00EA1057" w:rsidRPr="00EA1057" w:rsidRDefault="00EA1057" w:rsidP="00EA1057">
            <w:pPr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Всего </w:t>
            </w:r>
          </w:p>
        </w:tc>
        <w:tc>
          <w:tcPr>
            <w:tcW w:w="2794" w:type="dxa"/>
          </w:tcPr>
          <w:p w:rsidR="00EA1057" w:rsidRPr="00EA1057" w:rsidRDefault="00EA1057" w:rsidP="00EA1057">
            <w:pPr>
              <w:jc w:val="center"/>
              <w:rPr>
                <w:b/>
              </w:rPr>
            </w:pPr>
            <w:r w:rsidRPr="00EA1057">
              <w:rPr>
                <w:b/>
              </w:rPr>
              <w:t>4078</w:t>
            </w:r>
          </w:p>
        </w:tc>
        <w:tc>
          <w:tcPr>
            <w:tcW w:w="2795" w:type="dxa"/>
          </w:tcPr>
          <w:p w:rsidR="00EA1057" w:rsidRPr="00EA1057" w:rsidRDefault="00EA1057" w:rsidP="00EA1057">
            <w:pPr>
              <w:jc w:val="center"/>
              <w:rPr>
                <w:b/>
              </w:rPr>
            </w:pPr>
            <w:r w:rsidRPr="00EA1057">
              <w:rPr>
                <w:b/>
              </w:rPr>
              <w:t>4165</w:t>
            </w:r>
          </w:p>
        </w:tc>
      </w:tr>
    </w:tbl>
    <w:p w:rsidR="0004740E" w:rsidRPr="00BC2690" w:rsidRDefault="00B35ECE" w:rsidP="00BC2690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Уровень физического износа объектов электросетевого хозяйства:</w:t>
      </w:r>
    </w:p>
    <w:p w:rsidR="0004740E" w:rsidRPr="0004740E" w:rsidRDefault="0004740E" w:rsidP="0004740E">
      <w:pPr>
        <w:pStyle w:val="a3"/>
        <w:spacing w:after="0" w:line="276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A1057">
        <w:rPr>
          <w:rFonts w:ascii="Times New Roman" w:hAnsi="Times New Roman" w:cs="Times New Roman"/>
          <w:color w:val="000000" w:themeColor="text1"/>
          <w:sz w:val="28"/>
          <w:szCs w:val="28"/>
        </w:rPr>
        <w:t>бщий износ по ПС            2015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67,</w:t>
      </w:r>
      <w:r w:rsidR="00EA1057">
        <w:rPr>
          <w:rFonts w:ascii="Times New Roman" w:hAnsi="Times New Roman" w:cs="Times New Roman"/>
          <w:color w:val="000000" w:themeColor="text1"/>
          <w:sz w:val="28"/>
          <w:szCs w:val="28"/>
        </w:rPr>
        <w:t>00; 2016</w:t>
      </w:r>
      <w:r w:rsidRPr="00047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67,</w:t>
      </w:r>
      <w:r w:rsidR="00EA1057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</w:p>
    <w:p w:rsidR="00B35ECE" w:rsidRPr="00BB4F05" w:rsidRDefault="0004740E" w:rsidP="00BB4F05">
      <w:pPr>
        <w:pStyle w:val="a3"/>
        <w:spacing w:after="0" w:line="276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Общий износ п</w:t>
      </w:r>
      <w:r w:rsidR="00EA1057">
        <w:rPr>
          <w:rFonts w:ascii="Times New Roman" w:hAnsi="Times New Roman" w:cs="Times New Roman"/>
          <w:color w:val="000000" w:themeColor="text1"/>
          <w:sz w:val="28"/>
          <w:szCs w:val="28"/>
        </w:rPr>
        <w:t>о линиям     2015 год – 68,0; 2016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EA1057">
        <w:rPr>
          <w:rFonts w:ascii="Times New Roman" w:hAnsi="Times New Roman" w:cs="Times New Roman"/>
          <w:color w:val="000000" w:themeColor="text1"/>
          <w:sz w:val="28"/>
          <w:szCs w:val="28"/>
        </w:rPr>
        <w:t>58,14</w:t>
      </w:r>
      <w:r w:rsidRPr="00BB4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</w:p>
    <w:p w:rsidR="00B35ECE" w:rsidRPr="009A6014" w:rsidRDefault="00B35ECE" w:rsidP="00B87B1E">
      <w:pPr>
        <w:pStyle w:val="a3"/>
        <w:numPr>
          <w:ilvl w:val="0"/>
          <w:numId w:val="1"/>
        </w:numPr>
        <w:spacing w:after="0" w:line="276" w:lineRule="auto"/>
        <w:ind w:left="709" w:hanging="709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9A601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lastRenderedPageBreak/>
        <w:t>Информация о качестве услуг по передаче электрической энергии</w:t>
      </w:r>
    </w:p>
    <w:p w:rsidR="00B35ECE" w:rsidRPr="00B87B1E" w:rsidRDefault="00B35ECE" w:rsidP="00B87B1E">
      <w:pPr>
        <w:spacing w:after="0" w:line="276" w:lineRule="auto"/>
        <w:ind w:left="709" w:hanging="709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04740E" w:rsidRPr="00BC2690" w:rsidRDefault="00B35ECE" w:rsidP="00BC2690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качества услуг по передаче электрической энергии:</w:t>
      </w:r>
    </w:p>
    <w:tbl>
      <w:tblPr>
        <w:tblW w:w="105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6558"/>
        <w:gridCol w:w="992"/>
        <w:gridCol w:w="1134"/>
        <w:gridCol w:w="1276"/>
      </w:tblGrid>
      <w:tr w:rsidR="0004740E" w:rsidRPr="000E5507" w:rsidTr="00EA1057">
        <w:trPr>
          <w:trHeight w:val="2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:rsidR="0004740E" w:rsidRPr="00BB4F05" w:rsidRDefault="0004740E" w:rsidP="00BB4F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B4F05">
              <w:rPr>
                <w:rFonts w:ascii="Times New Roman" w:hAnsi="Times New Roman" w:cs="Times New Roman"/>
                <w:b/>
                <w:noProof/>
              </w:rPr>
              <w:t>№</w:t>
            </w:r>
          </w:p>
        </w:tc>
        <w:tc>
          <w:tcPr>
            <w:tcW w:w="6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:rsidR="0004740E" w:rsidRPr="00BB4F05" w:rsidRDefault="0004740E" w:rsidP="00BB4F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B4F05">
              <w:rPr>
                <w:rFonts w:ascii="Times New Roman" w:hAnsi="Times New Roman" w:cs="Times New Roman"/>
                <w:b/>
                <w:noProof/>
              </w:rPr>
              <w:t>Показатель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4740E" w:rsidRPr="00BB4F05" w:rsidRDefault="0004740E" w:rsidP="00BB4F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B4F05">
              <w:rPr>
                <w:rFonts w:ascii="Times New Roman" w:hAnsi="Times New Roman" w:cs="Times New Roman"/>
                <w:b/>
                <w:noProof/>
              </w:rPr>
              <w:t>Значение показателя, годы</w:t>
            </w:r>
          </w:p>
        </w:tc>
      </w:tr>
      <w:tr w:rsidR="00EA1057" w:rsidRPr="00EA1057" w:rsidTr="00EA1057">
        <w:trPr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:rsidR="00EA1057" w:rsidRPr="00BB4F05" w:rsidRDefault="00EA1057" w:rsidP="00BB4F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558" w:type="dxa"/>
            <w:vMerge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:rsidR="00EA1057" w:rsidRPr="00BB4F05" w:rsidRDefault="00EA1057" w:rsidP="00BB4F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:rsidR="00EA1057" w:rsidRPr="00BB4F05" w:rsidRDefault="00EA1057" w:rsidP="00BB4F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</w:pPr>
            <w:r w:rsidRPr="00BB4F05"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:rsidR="00EA1057" w:rsidRPr="00BB4F05" w:rsidRDefault="00EA1057" w:rsidP="00BB4F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</w:pPr>
            <w:r w:rsidRPr="00BB4F05"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EA1057" w:rsidRPr="00BB4F05" w:rsidRDefault="00EA1057" w:rsidP="00BB4F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</w:pPr>
            <w:r w:rsidRPr="00BB4F05"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  <w:t>Динамика</w:t>
            </w:r>
          </w:p>
          <w:p w:rsidR="00EA1057" w:rsidRPr="00BB4F05" w:rsidRDefault="00EA1057" w:rsidP="00BB4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B4F05">
              <w:rPr>
                <w:rFonts w:ascii="Times New Roman" w:hAnsi="Times New Roman" w:cs="Times New Roman"/>
                <w:b/>
                <w:noProof/>
              </w:rPr>
              <w:t>изменения</w:t>
            </w:r>
          </w:p>
          <w:p w:rsidR="00EA1057" w:rsidRPr="00BB4F05" w:rsidRDefault="00EA1057" w:rsidP="00BB4F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</w:pPr>
            <w:r w:rsidRPr="00BB4F05"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  <w:t>показателя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EA1057" w:rsidRDefault="00EA1057" w:rsidP="00EA1057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Theme="minorHAnsi" w:eastAsiaTheme="minorHAnsi" w:hAnsiTheme="minorHAnsi" w:cstheme="minorBidi"/>
                <w:noProof/>
                <w:spacing w:val="0"/>
                <w:sz w:val="22"/>
                <w:szCs w:val="22"/>
              </w:rPr>
            </w:pPr>
            <w:r w:rsidRPr="00EA1057">
              <w:rPr>
                <w:rFonts w:asciiTheme="minorHAnsi" w:eastAsiaTheme="minorHAnsi" w:hAnsiTheme="minorHAnsi" w:cstheme="minorBidi"/>
                <w:noProof/>
                <w:spacing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EA1057" w:rsidRDefault="00EA1057" w:rsidP="00EA1057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Theme="minorHAnsi" w:eastAsiaTheme="minorHAnsi" w:hAnsiTheme="minorHAnsi" w:cstheme="minorBidi"/>
                <w:noProof/>
                <w:spacing w:val="0"/>
                <w:sz w:val="22"/>
                <w:szCs w:val="22"/>
              </w:rPr>
            </w:pPr>
            <w:r w:rsidRPr="00EA1057">
              <w:rPr>
                <w:rFonts w:asciiTheme="minorHAnsi" w:eastAsiaTheme="minorHAnsi" w:hAnsiTheme="minorHAnsi" w:cstheme="minorBidi"/>
                <w:noProof/>
                <w:spacing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EA1057" w:rsidRDefault="00EA1057" w:rsidP="00EA1057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Theme="minorHAnsi" w:eastAsiaTheme="minorHAnsi" w:hAnsiTheme="minorHAnsi" w:cstheme="minorBidi"/>
                <w:noProof/>
                <w:spacing w:val="0"/>
                <w:sz w:val="22"/>
                <w:szCs w:val="22"/>
              </w:rPr>
            </w:pPr>
            <w:r w:rsidRPr="00EA1057">
              <w:rPr>
                <w:rFonts w:asciiTheme="minorHAnsi" w:eastAsiaTheme="minorHAnsi" w:hAnsiTheme="minorHAnsi" w:cstheme="minorBidi"/>
                <w:noProof/>
                <w:spacing w:val="0"/>
                <w:sz w:val="22"/>
                <w:szCs w:val="22"/>
              </w:rPr>
              <w:t>5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Показатель средней продолжительности прекращений передачи электрической энергии 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(П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  <w:lang w:val="en-US"/>
              </w:rPr>
              <w:t>SAIDI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)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2,043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0,984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-52%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1.1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ВН (110 кВ и выше)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1.2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СН1 (35-60 кВ)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1.3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СН2 (1-20 кВ)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1.4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НН (до 1 кВ)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Показатель средней частоты прекращений передачи электрической энергии 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(П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  <w:lang w:val="en-US"/>
              </w:rPr>
              <w:t>SAIFI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)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1,203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0,663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-45%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2.1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ВН (110 кВ и выше)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2.2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СН1 (35-60 кВ)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2.3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СН2 (1-20 кВ)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2.4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НН (до 1 кВ)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(П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  <w:lang w:val="en-US"/>
              </w:rPr>
              <w:t>SAIDI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</w:rPr>
              <w:t xml:space="preserve"> </w:t>
            </w:r>
            <w:r w:rsidRPr="00BC2690">
              <w:rPr>
                <w:rStyle w:val="TimesNewRoman5pt0pt"/>
                <w:rFonts w:eastAsia="Century Schoolbook"/>
                <w:b/>
                <w:sz w:val="20"/>
                <w:szCs w:val="20"/>
                <w:lang w:val="ru-RU" w:eastAsia="ru-RU" w:bidi="ru-RU"/>
              </w:rPr>
              <w:t>план</w:t>
            </w:r>
            <w:r w:rsidRPr="00BC2690">
              <w:rPr>
                <w:rStyle w:val="LucidaSansUnicode45pt0pt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BC2690">
              <w:rPr>
                <w:rStyle w:val="LucidaSansUnicode45pt0pt"/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3.1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ВН (110 кВ и выше)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3.2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СН1 (35-60 кВ)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3.3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СН2 (1-20 кВ)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3.4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НН (до 1 кВ)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Показатель средней частоты прекращений передачи </w:t>
            </w:r>
            <w:r w:rsidRPr="00BC2690">
              <w:rPr>
                <w:rStyle w:val="LucidaSansUnicode7pt0pt"/>
                <w:rFonts w:ascii="Times New Roman" w:hAnsi="Times New Roman" w:cs="Times New Roman"/>
                <w:sz w:val="20"/>
                <w:szCs w:val="20"/>
              </w:rPr>
              <w:t xml:space="preserve">электрической энергии, </w:t>
            </w: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 xml:space="preserve"> (П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  <w:lang w:val="en-US"/>
              </w:rPr>
              <w:t>SAIFI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</w:rPr>
              <w:t xml:space="preserve"> </w:t>
            </w:r>
            <w:r w:rsidRPr="00BC2690">
              <w:rPr>
                <w:rStyle w:val="TimesNewRoman5pt0pt"/>
                <w:rFonts w:eastAsia="Century Schoolbook"/>
                <w:b/>
                <w:sz w:val="20"/>
                <w:szCs w:val="20"/>
                <w:lang w:val="ru-RU" w:eastAsia="ru-RU" w:bidi="ru-RU"/>
              </w:rPr>
              <w:t>план</w:t>
            </w:r>
            <w:r w:rsidRPr="00BC2690">
              <w:rPr>
                <w:rStyle w:val="LucidaSansUnicode45pt0pt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BC2690">
              <w:rPr>
                <w:rStyle w:val="LucidaSansUnicode45pt0pt"/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4.1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ВН (110 кВ и выше)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4.2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СН1 (35-60 кВ)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4.3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СН2 (1-20 кВ)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4.4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НН (до 1 кВ)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  <w:vertAlign w:val="superscript"/>
              </w:rPr>
              <w:t>3</w:t>
            </w: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5.1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  <w:vertAlign w:val="superscript"/>
              </w:rPr>
              <w:t>3</w:t>
            </w: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</w:tbl>
    <w:p w:rsidR="0004740E" w:rsidRPr="000E5507" w:rsidRDefault="0004740E" w:rsidP="0004740E">
      <w:pPr>
        <w:rPr>
          <w:sz w:val="28"/>
          <w:szCs w:val="28"/>
        </w:rPr>
        <w:sectPr w:rsidR="0004740E" w:rsidRPr="000E5507">
          <w:pgSz w:w="11909" w:h="16838"/>
          <w:pgMar w:top="870" w:right="831" w:bottom="633" w:left="8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page" w:tblpX="1389" w:tblpY="-1700"/>
        <w:tblW w:w="14596" w:type="dxa"/>
        <w:tblLayout w:type="fixed"/>
        <w:tblLook w:val="04A0" w:firstRow="1" w:lastRow="0" w:firstColumn="1" w:lastColumn="0" w:noHBand="0" w:noVBand="1"/>
      </w:tblPr>
      <w:tblGrid>
        <w:gridCol w:w="279"/>
        <w:gridCol w:w="425"/>
        <w:gridCol w:w="1843"/>
        <w:gridCol w:w="1984"/>
        <w:gridCol w:w="1843"/>
        <w:gridCol w:w="2410"/>
        <w:gridCol w:w="1134"/>
        <w:gridCol w:w="1276"/>
        <w:gridCol w:w="1417"/>
        <w:gridCol w:w="1559"/>
        <w:gridCol w:w="426"/>
      </w:tblGrid>
      <w:tr w:rsidR="002E0F9A" w:rsidRPr="00B35ECE" w:rsidTr="00755BDD">
        <w:trPr>
          <w:gridAfter w:val="1"/>
          <w:wAfter w:w="426" w:type="dxa"/>
          <w:trHeight w:val="719"/>
        </w:trPr>
        <w:tc>
          <w:tcPr>
            <w:tcW w:w="14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9A" w:rsidRDefault="002E0F9A" w:rsidP="00E833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E0F9A" w:rsidRDefault="002E0F9A" w:rsidP="00E8330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E0F9A" w:rsidRDefault="002E0F9A" w:rsidP="00E833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E0F9A" w:rsidRPr="009A6014" w:rsidRDefault="002E0F9A" w:rsidP="00E8330C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9A6014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Информация о качестве услуг по технологическому присоединению.</w:t>
            </w:r>
          </w:p>
          <w:p w:rsidR="002E0F9A" w:rsidRDefault="002E0F9A" w:rsidP="00E8330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E0F9A" w:rsidRPr="003571D7" w:rsidRDefault="003571D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3.1 </w:t>
            </w:r>
            <w:r w:rsidR="002E0F9A"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Информация о наличии объема невостребованной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</w:t>
            </w:r>
          </w:p>
        </w:tc>
      </w:tr>
      <w:tr w:rsidR="002E0F9A" w:rsidRPr="00B35ECE" w:rsidTr="00755BDD">
        <w:trPr>
          <w:gridBefore w:val="1"/>
          <w:wBefore w:w="279" w:type="dxa"/>
          <w:trHeight w:val="29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B35ECE" w:rsidRDefault="002E0F9A" w:rsidP="00E833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B35ECE" w:rsidRDefault="002E0F9A" w:rsidP="00E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B35ECE" w:rsidRDefault="002E0F9A" w:rsidP="00E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B35ECE" w:rsidRDefault="002E0F9A" w:rsidP="00E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9A" w:rsidRPr="00B35ECE" w:rsidRDefault="002E0F9A" w:rsidP="00E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B35ECE" w:rsidRDefault="002E0F9A" w:rsidP="00E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B35ECE" w:rsidRDefault="002E0F9A" w:rsidP="00E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B35ECE" w:rsidRDefault="002E0F9A" w:rsidP="00E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B35ECE" w:rsidRDefault="002E0F9A" w:rsidP="00E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F9A" w:rsidRPr="00B35ECE" w:rsidTr="00755BDD">
        <w:trPr>
          <w:gridBefore w:val="1"/>
          <w:wBefore w:w="279" w:type="dxa"/>
          <w:trHeight w:val="2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2E0F9A" w:rsidRPr="00E8330C" w:rsidRDefault="002E0F9A" w:rsidP="00E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2E0F9A" w:rsidRPr="00E8330C" w:rsidRDefault="002E0F9A" w:rsidP="00E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центра питания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2E0F9A" w:rsidRPr="00E8330C" w:rsidRDefault="002E0F9A" w:rsidP="00E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Балансовая принадлежность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2E0F9A" w:rsidRPr="00E8330C" w:rsidRDefault="002E0F9A" w:rsidP="00E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Месторасположение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2E0F9A" w:rsidRPr="00E8330C" w:rsidRDefault="002E0F9A" w:rsidP="00E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Технические характеристики</w:t>
            </w:r>
          </w:p>
        </w:tc>
      </w:tr>
      <w:tr w:rsidR="002E0F9A" w:rsidRPr="00B35ECE" w:rsidTr="00755BDD">
        <w:trPr>
          <w:gridBefore w:val="1"/>
          <w:wBefore w:w="279" w:type="dxa"/>
          <w:trHeight w:val="13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2E0F9A" w:rsidRPr="00E8330C" w:rsidRDefault="002E0F9A" w:rsidP="00E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2E0F9A" w:rsidRPr="00E8330C" w:rsidRDefault="002E0F9A" w:rsidP="00E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2E0F9A" w:rsidRPr="00E8330C" w:rsidRDefault="002E0F9A" w:rsidP="00E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2E0F9A" w:rsidRPr="00E8330C" w:rsidRDefault="002E0F9A" w:rsidP="00E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2E0F9A" w:rsidRPr="00E8330C" w:rsidRDefault="002E0F9A" w:rsidP="00E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2E0F9A" w:rsidRPr="00E8330C" w:rsidRDefault="002E0F9A" w:rsidP="00E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Классы напряжения, кВ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2E0F9A" w:rsidRPr="00E8330C" w:rsidRDefault="002E0F9A" w:rsidP="00E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Установленная мощность, МВА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2E0F9A" w:rsidRPr="00E8330C" w:rsidRDefault="002E0F9A" w:rsidP="00E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Текущий резерв/ дефицит мощности, МВт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2E0F9A" w:rsidRPr="00E8330C" w:rsidRDefault="002E0F9A" w:rsidP="00E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Текущий резерв/дефицит мощности для технологического присоединения</w:t>
            </w: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3</w:t>
            </w: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МВт</w:t>
            </w:r>
          </w:p>
        </w:tc>
      </w:tr>
      <w:tr w:rsidR="002E0F9A" w:rsidRPr="00B35ECE" w:rsidTr="00755BDD">
        <w:trPr>
          <w:gridBefore w:val="1"/>
          <w:wBefore w:w="279" w:type="dxa"/>
          <w:cantSplit/>
          <w:trHeight w:val="2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E0F9A" w:rsidRPr="00E8330C" w:rsidRDefault="002E0F9A" w:rsidP="00E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E0F9A" w:rsidRPr="00E8330C" w:rsidRDefault="002E0F9A" w:rsidP="00E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E0F9A" w:rsidRPr="00E8330C" w:rsidRDefault="002E0F9A" w:rsidP="00E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E0F9A" w:rsidRPr="00E8330C" w:rsidRDefault="002E0F9A" w:rsidP="00E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0F9A" w:rsidRPr="00E8330C" w:rsidRDefault="002E0F9A" w:rsidP="00E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E0F9A" w:rsidRPr="00E8330C" w:rsidRDefault="002E0F9A" w:rsidP="00E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E0F9A" w:rsidRPr="00E8330C" w:rsidRDefault="002E0F9A" w:rsidP="00E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E0F9A" w:rsidRPr="00E8330C" w:rsidRDefault="002E0F9A" w:rsidP="00E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E0F9A" w:rsidRPr="00E8330C" w:rsidRDefault="002E0F9A" w:rsidP="00E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755BDD" w:rsidRPr="00B35ECE" w:rsidTr="00755BDD">
        <w:trPr>
          <w:gridBefore w:val="1"/>
          <w:wBefore w:w="279" w:type="dxa"/>
          <w:trHeight w:val="6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О-1 Центральная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Гурьевский городской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2,69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-31,51</w:t>
            </w:r>
          </w:p>
        </w:tc>
      </w:tr>
      <w:tr w:rsidR="00755BDD" w:rsidRPr="00B35ECE" w:rsidTr="00755BDD">
        <w:trPr>
          <w:gridBefore w:val="1"/>
          <w:wBefore w:w="279" w:type="dxa"/>
          <w:trHeight w:val="6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О-2 Янтарь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Город Калининград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7,15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5,85</w:t>
            </w:r>
          </w:p>
        </w:tc>
      </w:tr>
      <w:tr w:rsidR="00755BDD" w:rsidRPr="00B35ECE" w:rsidTr="00755BDD">
        <w:trPr>
          <w:gridBefore w:val="1"/>
          <w:wBefore w:w="279" w:type="dxa"/>
          <w:trHeight w:val="8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О-3 Знаменск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Гвардейский городской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</w:tr>
      <w:tr w:rsidR="00755BDD" w:rsidRPr="00B35ECE" w:rsidTr="00755BDD">
        <w:trPr>
          <w:gridBefore w:val="1"/>
          <w:wBefore w:w="279" w:type="dxa"/>
          <w:trHeight w:val="8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О-4 Черняховск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Черняховский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2,74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-3,20</w:t>
            </w:r>
          </w:p>
        </w:tc>
      </w:tr>
      <w:tr w:rsidR="00755BDD" w:rsidRPr="00B35ECE" w:rsidTr="00755BDD">
        <w:trPr>
          <w:gridBefore w:val="1"/>
          <w:wBefore w:w="279" w:type="dxa"/>
          <w:trHeight w:val="7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О-5 Советск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Советский городской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-4,46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-8,19</w:t>
            </w:r>
          </w:p>
        </w:tc>
      </w:tr>
      <w:tr w:rsidR="00755BDD" w:rsidRPr="00B35ECE" w:rsidTr="00755BDD">
        <w:trPr>
          <w:gridBefore w:val="1"/>
          <w:wBefore w:w="279" w:type="dxa"/>
          <w:trHeight w:val="6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О-6 Неман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Неманский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1х25 и 1х16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</w:tr>
      <w:tr w:rsidR="00755BDD" w:rsidRPr="00B35ECE" w:rsidTr="00755BDD">
        <w:trPr>
          <w:gridBefore w:val="1"/>
          <w:wBefore w:w="279" w:type="dxa"/>
          <w:trHeight w:val="6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О-7 Приморск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Балтийский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60/15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6,13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755BDD" w:rsidRPr="00B35ECE" w:rsidTr="00755BDD">
        <w:trPr>
          <w:gridBefore w:val="1"/>
          <w:wBefore w:w="279" w:type="dxa"/>
          <w:trHeight w:val="9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О-8 Янтарное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Янтарный городской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60/15/6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1,81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-4,40</w:t>
            </w:r>
          </w:p>
        </w:tc>
      </w:tr>
      <w:tr w:rsidR="00755BDD" w:rsidRPr="00B35ECE" w:rsidTr="00755BDD">
        <w:trPr>
          <w:gridBefore w:val="1"/>
          <w:wBefore w:w="279" w:type="dxa"/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О-9 Светлогорск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Светлогорский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110/15/10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3,71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-25,91</w:t>
            </w:r>
          </w:p>
        </w:tc>
      </w:tr>
      <w:tr w:rsidR="00755BDD" w:rsidRPr="00B35ECE" w:rsidTr="00755BDD">
        <w:trPr>
          <w:gridBefore w:val="1"/>
          <w:wBefore w:w="279" w:type="dxa"/>
          <w:trHeight w:val="69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О-10 Зеленоградск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Зеленоградский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1х16 и 1х25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-19,68</w:t>
            </w:r>
          </w:p>
        </w:tc>
      </w:tr>
      <w:tr w:rsidR="00755BDD" w:rsidRPr="00B35ECE" w:rsidTr="00755BDD">
        <w:trPr>
          <w:gridBefore w:val="1"/>
          <w:wBefore w:w="279" w:type="dxa"/>
          <w:trHeight w:val="7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О-11 Ленинградская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Город Калининград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2х25 и 1х40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28,06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</w:tr>
      <w:tr w:rsidR="00755BDD" w:rsidRPr="00B35ECE" w:rsidTr="00755BDD">
        <w:trPr>
          <w:gridBefore w:val="1"/>
          <w:wBefore w:w="279" w:type="dxa"/>
          <w:trHeight w:val="6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О-12 Южная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Город Калининград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13,11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-1,60</w:t>
            </w:r>
          </w:p>
        </w:tc>
      </w:tr>
      <w:tr w:rsidR="00755BDD" w:rsidRPr="00B35ECE" w:rsidTr="00755BDD">
        <w:trPr>
          <w:gridBefore w:val="1"/>
          <w:wBefore w:w="279" w:type="dxa"/>
          <w:trHeight w:val="7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О-13 Енино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Багратионовский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4,41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-5,12</w:t>
            </w:r>
          </w:p>
        </w:tc>
      </w:tr>
      <w:tr w:rsidR="00755BDD" w:rsidRPr="00B35ECE" w:rsidTr="00755BDD">
        <w:trPr>
          <w:gridBefore w:val="1"/>
          <w:wBefore w:w="279" w:type="dxa"/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О-14 Мамоново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Мамоновский городской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4,09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</w:tr>
      <w:tr w:rsidR="00755BDD" w:rsidRPr="00B35ECE" w:rsidTr="00755BDD">
        <w:trPr>
          <w:gridBefore w:val="1"/>
          <w:wBefore w:w="279" w:type="dxa"/>
          <w:trHeight w:val="7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О-15 Нестеров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Нестеровский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1х10 и 1х16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-0,97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-5,16</w:t>
            </w:r>
          </w:p>
        </w:tc>
      </w:tr>
      <w:tr w:rsidR="00755BDD" w:rsidRPr="00B35ECE" w:rsidTr="00755BDD">
        <w:trPr>
          <w:gridBefore w:val="1"/>
          <w:wBefore w:w="279" w:type="dxa"/>
          <w:trHeight w:val="68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О-16 Лужки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Озерский городкой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3,66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3,44</w:t>
            </w:r>
          </w:p>
        </w:tc>
      </w:tr>
      <w:tr w:rsidR="00755BDD" w:rsidRPr="00B35ECE" w:rsidTr="00755BDD">
        <w:trPr>
          <w:gridBefore w:val="1"/>
          <w:wBefore w:w="279" w:type="dxa"/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О-17 Рыбный 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Город Калининград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5,97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3,56</w:t>
            </w:r>
          </w:p>
        </w:tc>
      </w:tr>
      <w:tr w:rsidR="00755BDD" w:rsidRPr="00B35ECE" w:rsidTr="00755BDD">
        <w:trPr>
          <w:gridBefore w:val="1"/>
          <w:wBefore w:w="279" w:type="dxa"/>
          <w:trHeight w:val="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О-18 Озерки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Гвардейский городской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-0,22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-3,01</w:t>
            </w:r>
          </w:p>
        </w:tc>
      </w:tr>
      <w:tr w:rsidR="00755BDD" w:rsidRPr="00B35ECE" w:rsidTr="00755BDD">
        <w:trPr>
          <w:gridBefore w:val="1"/>
          <w:wBefore w:w="279" w:type="dxa"/>
          <w:trHeight w:val="7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О-19 Полесск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Полесский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-1,74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-9,59</w:t>
            </w:r>
          </w:p>
        </w:tc>
      </w:tr>
      <w:tr w:rsidR="00755BDD" w:rsidRPr="00B35ECE" w:rsidTr="00755BDD">
        <w:trPr>
          <w:gridBefore w:val="1"/>
          <w:wBefore w:w="279" w:type="dxa"/>
          <w:trHeight w:val="7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О-20 Озёрск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Озерский городкой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</w:tr>
      <w:tr w:rsidR="00755BDD" w:rsidRPr="00B35ECE" w:rsidTr="00755BDD">
        <w:trPr>
          <w:gridBefore w:val="1"/>
          <w:wBefore w:w="279" w:type="dxa"/>
          <w:trHeight w:val="7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О-22 Краснознаменск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Краснознаменский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2,41</w:t>
            </w:r>
          </w:p>
        </w:tc>
      </w:tr>
      <w:tr w:rsidR="00755BDD" w:rsidRPr="00B35ECE" w:rsidTr="00755BDD">
        <w:trPr>
          <w:gridBefore w:val="1"/>
          <w:wBefore w:w="279" w:type="dxa"/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О-23 Охотное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Славский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1х6,3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-6,24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-7,27</w:t>
            </w:r>
          </w:p>
        </w:tc>
      </w:tr>
      <w:tr w:rsidR="00755BDD" w:rsidRPr="00B35ECE" w:rsidTr="00755BDD">
        <w:trPr>
          <w:gridBefore w:val="1"/>
          <w:wBefore w:w="279" w:type="dxa"/>
          <w:trHeight w:val="6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О-24 Гурьевск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Гурьевский городской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2,43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-39,61</w:t>
            </w:r>
          </w:p>
        </w:tc>
      </w:tr>
      <w:tr w:rsidR="00755BDD" w:rsidRPr="00B35ECE" w:rsidTr="00755BDD">
        <w:trPr>
          <w:gridBefore w:val="1"/>
          <w:wBefore w:w="279" w:type="dxa"/>
          <w:trHeight w:val="6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О-25 Вишневка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Славский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1,82</w:t>
            </w:r>
          </w:p>
        </w:tc>
      </w:tr>
      <w:tr w:rsidR="00755BDD" w:rsidRPr="00B35ECE" w:rsidTr="00755BDD">
        <w:trPr>
          <w:gridBefore w:val="1"/>
          <w:wBefore w:w="279" w:type="dxa"/>
          <w:trHeight w:val="7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О-26 Лесная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Славский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24,68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24,68</w:t>
            </w:r>
          </w:p>
        </w:tc>
      </w:tr>
      <w:tr w:rsidR="00755BDD" w:rsidRPr="00B35ECE" w:rsidTr="00755BDD">
        <w:trPr>
          <w:gridBefore w:val="1"/>
          <w:wBefore w:w="279" w:type="dxa"/>
          <w:trHeight w:val="6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О-27 Муромская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Зеленоградский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-1,72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-17,18</w:t>
            </w:r>
          </w:p>
        </w:tc>
      </w:tr>
      <w:tr w:rsidR="00755BDD" w:rsidRPr="00B35ECE" w:rsidTr="00755BDD">
        <w:trPr>
          <w:gridBefore w:val="1"/>
          <w:wBefore w:w="279" w:type="dxa"/>
          <w:trHeight w:val="7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О-30 Московская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Город Калининград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35,40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11,54</w:t>
            </w:r>
          </w:p>
        </w:tc>
      </w:tr>
      <w:tr w:rsidR="00755BDD" w:rsidRPr="00B35ECE" w:rsidTr="00755BDD">
        <w:trPr>
          <w:gridBefore w:val="1"/>
          <w:wBefore w:w="279" w:type="dxa"/>
          <w:trHeight w:val="7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О-31 Багратионовск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Багратионовский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-2,04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-8,23</w:t>
            </w:r>
          </w:p>
        </w:tc>
      </w:tr>
      <w:tr w:rsidR="00755BDD" w:rsidRPr="00B35ECE" w:rsidTr="00755BDD">
        <w:trPr>
          <w:gridBefore w:val="1"/>
          <w:wBefore w:w="279" w:type="dxa"/>
          <w:trHeight w:val="5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О-32 Черняховск-2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Черняховский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</w:tr>
      <w:tr w:rsidR="00755BDD" w:rsidRPr="00B35ECE" w:rsidTr="00755BDD">
        <w:trPr>
          <w:gridBefore w:val="1"/>
          <w:wBefore w:w="279" w:type="dxa"/>
          <w:trHeight w:val="65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О-34 Правдинск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Правдинский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</w:tr>
      <w:tr w:rsidR="00755BDD" w:rsidRPr="00B35ECE" w:rsidTr="00755BDD">
        <w:trPr>
          <w:gridBefore w:val="1"/>
          <w:wBefore w:w="279" w:type="dxa"/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О-35 Космодемьянская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Город Калининград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1х16 и 1х25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-2,87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-19,81</w:t>
            </w:r>
          </w:p>
        </w:tc>
      </w:tr>
      <w:tr w:rsidR="00755BDD" w:rsidRPr="00B35ECE" w:rsidTr="00755BDD">
        <w:trPr>
          <w:gridBefore w:val="1"/>
          <w:wBefore w:w="279" w:type="dxa"/>
          <w:trHeight w:val="57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О-37 Лунино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Неманский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1х10 и 1х6,3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755BDD" w:rsidRPr="00B35ECE" w:rsidTr="00755BDD">
        <w:trPr>
          <w:gridBefore w:val="1"/>
          <w:wBefore w:w="279" w:type="dxa"/>
          <w:trHeight w:val="65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О-38 Добровольск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Краснознаменский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5,90</w:t>
            </w:r>
          </w:p>
        </w:tc>
      </w:tr>
      <w:tr w:rsidR="00755BDD" w:rsidRPr="00B35ECE" w:rsidTr="00755BDD">
        <w:trPr>
          <w:gridBefore w:val="1"/>
          <w:wBefore w:w="279" w:type="dxa"/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О-39 Ладушкин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Ладушкинский городской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1,29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-4,23</w:t>
            </w:r>
          </w:p>
        </w:tc>
      </w:tr>
      <w:tr w:rsidR="00755BDD" w:rsidRPr="00B35ECE" w:rsidTr="00755BDD">
        <w:trPr>
          <w:gridBefore w:val="1"/>
          <w:wBefore w:w="279" w:type="dxa"/>
          <w:trHeight w:val="5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О-40 Чистые пруды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Нестеровский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1,82</w:t>
            </w:r>
          </w:p>
        </w:tc>
      </w:tr>
      <w:tr w:rsidR="00755BDD" w:rsidRPr="00B35ECE" w:rsidTr="00755BDD">
        <w:trPr>
          <w:gridBefore w:val="1"/>
          <w:wBefore w:w="279" w:type="dxa"/>
          <w:trHeight w:val="4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О-41 Железнодорожная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Правдинский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</w:tr>
      <w:tr w:rsidR="00755BDD" w:rsidRPr="00B35ECE" w:rsidTr="00755BDD">
        <w:trPr>
          <w:gridBefore w:val="1"/>
          <w:wBefore w:w="279" w:type="dxa"/>
          <w:trHeight w:val="7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О-42 Северная 110 кВ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Город Калининград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 xml:space="preserve">2х40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36,68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-3,93</w:t>
            </w:r>
          </w:p>
        </w:tc>
      </w:tr>
      <w:tr w:rsidR="00755BDD" w:rsidRPr="00B35ECE" w:rsidTr="00755BDD">
        <w:trPr>
          <w:gridBefore w:val="1"/>
          <w:wBefore w:w="279" w:type="dxa"/>
          <w:trHeight w:val="7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О-46 Славск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Славский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-0,32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-1,99</w:t>
            </w:r>
          </w:p>
        </w:tc>
      </w:tr>
      <w:tr w:rsidR="00755BDD" w:rsidRPr="00B35ECE" w:rsidTr="00755BDD">
        <w:trPr>
          <w:gridBefore w:val="1"/>
          <w:wBefore w:w="279" w:type="dxa"/>
          <w:trHeight w:val="55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О-47 Борисово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Гурьевский городской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13,69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-0,08</w:t>
            </w:r>
          </w:p>
        </w:tc>
      </w:tr>
      <w:tr w:rsidR="00755BDD" w:rsidRPr="00B35ECE" w:rsidTr="00755BDD">
        <w:trPr>
          <w:gridBefore w:val="1"/>
          <w:wBefore w:w="279" w:type="dxa"/>
          <w:trHeight w:val="6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О-48 Молокозаводская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Город Калининград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1,29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-7,99</w:t>
            </w:r>
          </w:p>
        </w:tc>
      </w:tr>
      <w:tr w:rsidR="00755BDD" w:rsidRPr="00B35ECE" w:rsidTr="00755BDD">
        <w:trPr>
          <w:gridBefore w:val="1"/>
          <w:wBefore w:w="279" w:type="dxa"/>
          <w:trHeight w:val="7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О-49 Люблино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Светловский городской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2,69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-1,48</w:t>
            </w:r>
          </w:p>
        </w:tc>
      </w:tr>
      <w:tr w:rsidR="00755BDD" w:rsidRPr="00B35ECE" w:rsidTr="00755BDD">
        <w:trPr>
          <w:gridBefore w:val="1"/>
          <w:wBefore w:w="279" w:type="dxa"/>
          <w:trHeight w:val="6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О-50 Междуречье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Черняховский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755BDD" w:rsidRPr="00B35ECE" w:rsidTr="00755BDD">
        <w:trPr>
          <w:gridBefore w:val="1"/>
          <w:wBefore w:w="279" w:type="dxa"/>
          <w:trHeight w:val="55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О-51 Гвардейская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Гвардейский городской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4,24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-1,88</w:t>
            </w:r>
          </w:p>
        </w:tc>
      </w:tr>
      <w:tr w:rsidR="00755BDD" w:rsidRPr="00B35ECE" w:rsidTr="00755BDD">
        <w:trPr>
          <w:gridBefore w:val="1"/>
          <w:wBefore w:w="279" w:type="dxa"/>
          <w:trHeight w:val="6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О-52 Светлый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Светловский городской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1х16 и 1х25 и 2х7,5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7,26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755BDD" w:rsidRPr="00B35ECE" w:rsidTr="00755BDD">
        <w:trPr>
          <w:gridBefore w:val="1"/>
          <w:wBefore w:w="279" w:type="dxa"/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О-53 Правобережная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Западные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Город Калининград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110/10/6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 xml:space="preserve">2х63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36,62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18,73</w:t>
            </w:r>
          </w:p>
        </w:tc>
      </w:tr>
      <w:tr w:rsidR="00755BDD" w:rsidRPr="00B35ECE" w:rsidTr="003571D7">
        <w:trPr>
          <w:gridBefore w:val="1"/>
          <w:wBefore w:w="279" w:type="dxa"/>
          <w:trHeight w:val="2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DD" w:rsidRPr="00755BDD" w:rsidRDefault="00755BDD" w:rsidP="0075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О-54 Гусев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Восточные электрические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2х25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DD" w:rsidRPr="00755BDD" w:rsidRDefault="00755BDD" w:rsidP="0075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-4,98</w:t>
            </w:r>
          </w:p>
        </w:tc>
      </w:tr>
    </w:tbl>
    <w:p w:rsidR="00B35ECE" w:rsidRPr="0004740E" w:rsidRDefault="00B35ECE" w:rsidP="0004740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F9A" w:rsidRPr="00B35ECE" w:rsidRDefault="002E0F9A" w:rsidP="00B87B1E">
      <w:pPr>
        <w:pStyle w:val="a3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ECE" w:rsidRDefault="00B35ECE" w:rsidP="00B35E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F9A" w:rsidRDefault="002E0F9A" w:rsidP="00B35E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F9A" w:rsidRDefault="002E0F9A" w:rsidP="00B35E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1D7" w:rsidRDefault="003571D7" w:rsidP="003571D7">
      <w:pPr>
        <w:pStyle w:val="a4"/>
        <w:tabs>
          <w:tab w:val="left" w:pos="1605"/>
        </w:tabs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3571D7" w:rsidRDefault="003571D7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571D7" w:rsidRDefault="003571D7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571D7" w:rsidRDefault="003571D7" w:rsidP="00136D01">
      <w:pPr>
        <w:pStyle w:val="a4"/>
        <w:tabs>
          <w:tab w:val="left" w:pos="1605"/>
        </w:tabs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</w:p>
    <w:p w:rsidR="003571D7" w:rsidRDefault="003571D7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C2690" w:rsidRPr="003571D7" w:rsidRDefault="003571D7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571D7">
        <w:rPr>
          <w:rFonts w:ascii="Times New Roman" w:hAnsi="Times New Roman" w:cs="Times New Roman"/>
          <w:color w:val="auto"/>
          <w:sz w:val="28"/>
          <w:szCs w:val="28"/>
        </w:rPr>
        <w:t xml:space="preserve">3.2. </w:t>
      </w:r>
      <w:r w:rsidR="00BC2690" w:rsidRPr="003571D7">
        <w:rPr>
          <w:rFonts w:ascii="Times New Roman" w:hAnsi="Times New Roman" w:cs="Times New Roman"/>
          <w:color w:val="auto"/>
          <w:sz w:val="28"/>
          <w:szCs w:val="28"/>
        </w:rPr>
        <w:t>Мероприятия, выполненные АО «Янтарьэнерго» в целях совершенствования деятельности по технологическому присоединению.</w:t>
      </w:r>
    </w:p>
    <w:p w:rsidR="00BC2690" w:rsidRPr="00371A80" w:rsidRDefault="00BC2690" w:rsidP="003571D7">
      <w:pPr>
        <w:pStyle w:val="a4"/>
        <w:tabs>
          <w:tab w:val="left" w:pos="1605"/>
        </w:tabs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35ECE" w:rsidRPr="00371A80" w:rsidRDefault="00B35ECE" w:rsidP="00371A80">
      <w:pPr>
        <w:autoSpaceDE w:val="0"/>
        <w:autoSpaceDN w:val="0"/>
        <w:adjustRightInd w:val="0"/>
        <w:spacing w:after="0"/>
        <w:ind w:firstLine="7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1A80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деятельности в части технологического присоединения АО «Янтарьэнерго» </w:t>
      </w:r>
      <w:r w:rsidR="002E0F9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71A80">
        <w:rPr>
          <w:rFonts w:ascii="Times New Roman" w:hAnsi="Times New Roman" w:cs="Times New Roman"/>
          <w:sz w:val="28"/>
          <w:szCs w:val="28"/>
        </w:rPr>
        <w:t>от 06.01.2015 издан приказ № 1 о реализации не менее 25% действующих договоров по ТП хозяйственным способом</w:t>
      </w:r>
      <w:r w:rsidR="002E0F9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71A80">
        <w:rPr>
          <w:rFonts w:ascii="Times New Roman" w:hAnsi="Times New Roman" w:cs="Times New Roman"/>
          <w:sz w:val="28"/>
          <w:szCs w:val="28"/>
        </w:rPr>
        <w:t xml:space="preserve"> в результате чего созданы мобильные бригады (на базе Гурьевского РЭС филиала «Западные электрические сети» </w:t>
      </w:r>
      <w:r w:rsidR="00371A8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71A80">
        <w:rPr>
          <w:rFonts w:ascii="Times New Roman" w:hAnsi="Times New Roman" w:cs="Times New Roman"/>
          <w:sz w:val="28"/>
          <w:szCs w:val="28"/>
        </w:rPr>
        <w:t xml:space="preserve">АО «Янтарьэнерго», на базе филиала «Городские электрические сети» АО «Янтарьэнерго») для исполнения обязательств </w:t>
      </w:r>
      <w:r w:rsidR="002E0F9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71A80">
        <w:rPr>
          <w:rFonts w:ascii="Times New Roman" w:hAnsi="Times New Roman" w:cs="Times New Roman"/>
          <w:sz w:val="28"/>
          <w:szCs w:val="28"/>
        </w:rPr>
        <w:t xml:space="preserve">по договорам до 150 кВт </w:t>
      </w:r>
      <w:r w:rsidRPr="00371A8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без </w:t>
      </w:r>
      <w:r w:rsidRPr="00371A80">
        <w:rPr>
          <w:rFonts w:ascii="Times New Roman" w:eastAsia="Calibri" w:hAnsi="Times New Roman" w:cs="Times New Roman"/>
          <w:sz w:val="28"/>
          <w:szCs w:val="28"/>
          <w:lang w:eastAsia="x-none"/>
        </w:rPr>
        <w:t>увеличения численности административно-управленческого и производственного персонала.</w:t>
      </w:r>
    </w:p>
    <w:p w:rsidR="00B35ECE" w:rsidRPr="00371A80" w:rsidRDefault="00B35ECE" w:rsidP="00371A80">
      <w:pPr>
        <w:autoSpaceDE w:val="0"/>
        <w:autoSpaceDN w:val="0"/>
        <w:adjustRightInd w:val="0"/>
        <w:spacing w:after="0"/>
        <w:ind w:firstLine="71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371A8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94C97">
        <w:rPr>
          <w:rFonts w:ascii="Times New Roman" w:hAnsi="Times New Roman" w:cs="Times New Roman"/>
          <w:sz w:val="28"/>
          <w:szCs w:val="28"/>
        </w:rPr>
        <w:t>за 2016</w:t>
      </w:r>
      <w:r w:rsidRPr="00371A80">
        <w:rPr>
          <w:rFonts w:ascii="Times New Roman" w:hAnsi="Times New Roman" w:cs="Times New Roman"/>
          <w:sz w:val="28"/>
          <w:szCs w:val="28"/>
        </w:rPr>
        <w:t xml:space="preserve"> год количество исполненных договоров хозяйственным способом составило 1 </w:t>
      </w:r>
      <w:r w:rsidR="00094C97">
        <w:rPr>
          <w:rFonts w:ascii="Times New Roman" w:hAnsi="Times New Roman" w:cs="Times New Roman"/>
          <w:sz w:val="28"/>
          <w:szCs w:val="28"/>
        </w:rPr>
        <w:t>197 шт.</w:t>
      </w:r>
    </w:p>
    <w:p w:rsidR="00B35ECE" w:rsidRPr="00371A80" w:rsidRDefault="00B35ECE" w:rsidP="00371A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371A80">
        <w:rPr>
          <w:rFonts w:ascii="Times New Roman" w:hAnsi="Times New Roman" w:cs="Times New Roman"/>
          <w:sz w:val="28"/>
          <w:szCs w:val="28"/>
        </w:rPr>
        <w:t>С целью ускорения процедуры ТП между АО «Янтарьэнерго» и органами исполнительной власти субъектов РФ заключаются соглашение о предоставлении земель под строительство электросетевых объектов по упрощенной пр</w:t>
      </w:r>
      <w:r w:rsidR="00371A80">
        <w:rPr>
          <w:rFonts w:ascii="Times New Roman" w:hAnsi="Times New Roman" w:cs="Times New Roman"/>
          <w:sz w:val="28"/>
          <w:szCs w:val="28"/>
        </w:rPr>
        <w:t>оцедуре</w:t>
      </w:r>
      <w:r w:rsidRPr="00371A80">
        <w:rPr>
          <w:rFonts w:ascii="Times New Roman" w:hAnsi="Times New Roman" w:cs="Times New Roman"/>
          <w:sz w:val="28"/>
          <w:szCs w:val="28"/>
        </w:rPr>
        <w:t xml:space="preserve"> </w:t>
      </w:r>
      <w:r w:rsidR="003571D7">
        <w:rPr>
          <w:rFonts w:ascii="Times New Roman" w:hAnsi="Times New Roman" w:cs="Times New Roman"/>
          <w:sz w:val="28"/>
          <w:szCs w:val="28"/>
        </w:rPr>
        <w:br/>
      </w:r>
      <w:r w:rsidRPr="00371A80">
        <w:rPr>
          <w:rFonts w:ascii="Times New Roman" w:hAnsi="Times New Roman" w:cs="Times New Roman"/>
          <w:sz w:val="28"/>
          <w:szCs w:val="28"/>
        </w:rPr>
        <w:t>и опред</w:t>
      </w:r>
      <w:r w:rsidR="002E0F9A">
        <w:rPr>
          <w:rFonts w:ascii="Times New Roman" w:hAnsi="Times New Roman" w:cs="Times New Roman"/>
          <w:sz w:val="28"/>
          <w:szCs w:val="28"/>
        </w:rPr>
        <w:t xml:space="preserve">еление ответственности субъекта </w:t>
      </w:r>
      <w:r w:rsidRPr="00371A80">
        <w:rPr>
          <w:rFonts w:ascii="Times New Roman" w:hAnsi="Times New Roman" w:cs="Times New Roman"/>
          <w:sz w:val="28"/>
          <w:szCs w:val="28"/>
        </w:rPr>
        <w:t>за несвоевременность исполнения заявителями по подключению</w:t>
      </w:r>
      <w:r w:rsidR="003571D7">
        <w:rPr>
          <w:rFonts w:ascii="Times New Roman" w:hAnsi="Times New Roman" w:cs="Times New Roman"/>
          <w:sz w:val="28"/>
          <w:szCs w:val="28"/>
        </w:rPr>
        <w:t xml:space="preserve"> </w:t>
      </w:r>
      <w:r w:rsidRPr="00371A80">
        <w:rPr>
          <w:rFonts w:ascii="Times New Roman" w:hAnsi="Times New Roman" w:cs="Times New Roman"/>
          <w:sz w:val="28"/>
          <w:szCs w:val="28"/>
        </w:rPr>
        <w:t>к электрическим сетям и использованию (неиспользованию) объемов заявленной максимальной мощности при технологическом присоединении.</w:t>
      </w:r>
    </w:p>
    <w:p w:rsidR="00B35ECE" w:rsidRPr="00371A80" w:rsidRDefault="00B35ECE" w:rsidP="00371A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C97">
        <w:rPr>
          <w:rFonts w:ascii="Times New Roman" w:hAnsi="Times New Roman" w:cs="Times New Roman"/>
          <w:sz w:val="28"/>
          <w:szCs w:val="28"/>
        </w:rPr>
        <w:t>15 февраля 2015</w:t>
      </w:r>
      <w:r w:rsidRPr="00371A80">
        <w:rPr>
          <w:rFonts w:ascii="Times New Roman" w:hAnsi="Times New Roman" w:cs="Times New Roman"/>
          <w:sz w:val="28"/>
          <w:szCs w:val="28"/>
        </w:rPr>
        <w:t xml:space="preserve"> </w:t>
      </w:r>
      <w:r w:rsidRPr="00094C97">
        <w:rPr>
          <w:rFonts w:ascii="Times New Roman" w:hAnsi="Times New Roman" w:cs="Times New Roman"/>
          <w:sz w:val="28"/>
          <w:szCs w:val="28"/>
        </w:rPr>
        <w:t>года</w:t>
      </w:r>
      <w:r w:rsidRPr="00371A80">
        <w:rPr>
          <w:rFonts w:ascii="Times New Roman" w:hAnsi="Times New Roman" w:cs="Times New Roman"/>
          <w:sz w:val="28"/>
          <w:szCs w:val="28"/>
        </w:rPr>
        <w:t xml:space="preserve"> было заключено Соглашение с Министерством строительства Калининградско</w:t>
      </w:r>
      <w:r w:rsidR="003571D7">
        <w:rPr>
          <w:rFonts w:ascii="Times New Roman" w:hAnsi="Times New Roman" w:cs="Times New Roman"/>
          <w:sz w:val="28"/>
          <w:szCs w:val="28"/>
        </w:rPr>
        <w:t xml:space="preserve">й области </w:t>
      </w:r>
      <w:r w:rsidR="003571D7">
        <w:rPr>
          <w:rFonts w:ascii="Times New Roman" w:hAnsi="Times New Roman" w:cs="Times New Roman"/>
          <w:sz w:val="28"/>
          <w:szCs w:val="28"/>
        </w:rPr>
        <w:br/>
      </w:r>
      <w:r w:rsidRPr="00371A80">
        <w:rPr>
          <w:rFonts w:ascii="Times New Roman" w:hAnsi="Times New Roman" w:cs="Times New Roman"/>
          <w:sz w:val="28"/>
          <w:szCs w:val="28"/>
        </w:rPr>
        <w:t>о сотрудничестве в поддержке региональных организаций строительной отрасли Министерство строительства Калининградской области.</w:t>
      </w:r>
    </w:p>
    <w:p w:rsidR="00B35ECE" w:rsidRPr="00371A80" w:rsidRDefault="00094C97" w:rsidP="00371A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4C97">
        <w:rPr>
          <w:rFonts w:ascii="Times New Roman" w:hAnsi="Times New Roman" w:cs="Times New Roman"/>
          <w:sz w:val="28"/>
          <w:szCs w:val="28"/>
        </w:rPr>
        <w:t>недрение автоматизированной системы управления технологическим присоединением на базе программного обеспече</w:t>
      </w:r>
      <w:r w:rsidR="003571D7">
        <w:rPr>
          <w:rFonts w:ascii="Times New Roman" w:hAnsi="Times New Roman" w:cs="Times New Roman"/>
          <w:sz w:val="28"/>
          <w:szCs w:val="28"/>
        </w:rPr>
        <w:t xml:space="preserve">ния на платформе 1С в 2015 году </w:t>
      </w:r>
      <w:r w:rsidRPr="00094C97">
        <w:rPr>
          <w:rFonts w:ascii="Times New Roman" w:hAnsi="Times New Roman" w:cs="Times New Roman"/>
          <w:sz w:val="28"/>
          <w:szCs w:val="28"/>
        </w:rPr>
        <w:t>и доработка ее в течение 2016 года в части оптимизации и автоматизации бизнес процессов, участвующих в технологическом присоединении</w:t>
      </w:r>
      <w:r w:rsidR="00B35ECE" w:rsidRPr="00371A80">
        <w:rPr>
          <w:rFonts w:ascii="Times New Roman" w:hAnsi="Times New Roman" w:cs="Times New Roman"/>
          <w:sz w:val="28"/>
          <w:szCs w:val="28"/>
        </w:rPr>
        <w:t>.</w:t>
      </w:r>
    </w:p>
    <w:p w:rsidR="00B35ECE" w:rsidRPr="00094C97" w:rsidRDefault="00B35ECE" w:rsidP="00094C97">
      <w:pPr>
        <w:pStyle w:val="a5"/>
        <w:spacing w:line="276" w:lineRule="auto"/>
        <w:ind w:firstLine="851"/>
        <w:rPr>
          <w:rFonts w:eastAsiaTheme="minorHAnsi"/>
          <w:sz w:val="28"/>
          <w:szCs w:val="28"/>
          <w:lang w:eastAsia="en-US"/>
        </w:rPr>
      </w:pPr>
      <w:r w:rsidRPr="00094C97">
        <w:rPr>
          <w:rFonts w:eastAsiaTheme="minorHAnsi"/>
          <w:sz w:val="28"/>
          <w:szCs w:val="28"/>
          <w:lang w:eastAsia="en-US"/>
        </w:rPr>
        <w:t>Кроме того, для обеспечения присоеди</w:t>
      </w:r>
      <w:r w:rsidR="00094C97" w:rsidRPr="00094C97">
        <w:rPr>
          <w:rFonts w:eastAsiaTheme="minorHAnsi"/>
          <w:sz w:val="28"/>
          <w:szCs w:val="28"/>
          <w:lang w:eastAsia="en-US"/>
        </w:rPr>
        <w:t>нения объектов заявителей в 2016</w:t>
      </w:r>
      <w:r w:rsidRPr="00094C97">
        <w:rPr>
          <w:rFonts w:eastAsiaTheme="minorHAnsi"/>
          <w:sz w:val="28"/>
          <w:szCs w:val="28"/>
          <w:lang w:eastAsia="en-US"/>
        </w:rPr>
        <w:t xml:space="preserve"> году предпринято ряд мер:</w:t>
      </w:r>
    </w:p>
    <w:p w:rsidR="00094C97" w:rsidRPr="00094C97" w:rsidRDefault="00094C97" w:rsidP="00094C97">
      <w:pPr>
        <w:widowControl w:val="0"/>
        <w:suppressLineNumbers/>
        <w:suppressAutoHyphens/>
        <w:spacing w:after="0" w:line="276" w:lineRule="auto"/>
        <w:ind w:left="851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C97">
        <w:rPr>
          <w:rFonts w:ascii="Times New Roman" w:hAnsi="Times New Roman" w:cs="Times New Roman"/>
          <w:sz w:val="28"/>
          <w:szCs w:val="28"/>
        </w:rPr>
        <w:t>- ревизия ранее выданных технических условий в части исключения обязательств по реконструкции существующих сетей;</w:t>
      </w:r>
    </w:p>
    <w:p w:rsidR="00094C97" w:rsidRPr="00094C97" w:rsidRDefault="00094C97" w:rsidP="00094C97">
      <w:pPr>
        <w:widowControl w:val="0"/>
        <w:suppressLineNumbers/>
        <w:suppressAutoHyphens/>
        <w:spacing w:after="0" w:line="276" w:lineRule="auto"/>
        <w:ind w:left="851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C97">
        <w:rPr>
          <w:rFonts w:ascii="Times New Roman" w:hAnsi="Times New Roman" w:cs="Times New Roman"/>
          <w:sz w:val="28"/>
          <w:szCs w:val="28"/>
        </w:rPr>
        <w:t>- оптимизация ранее выданных технических условий в части пересмотра точки присоединения и возможности присоединения потребителей к существующим сетям;</w:t>
      </w:r>
    </w:p>
    <w:p w:rsidR="00094C97" w:rsidRPr="00094C97" w:rsidRDefault="00094C97" w:rsidP="00094C97">
      <w:pPr>
        <w:widowControl w:val="0"/>
        <w:suppressLineNumbers/>
        <w:suppressAutoHyphens/>
        <w:spacing w:after="0" w:line="276" w:lineRule="auto"/>
        <w:ind w:left="851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C97">
        <w:rPr>
          <w:rFonts w:ascii="Times New Roman" w:hAnsi="Times New Roman" w:cs="Times New Roman"/>
          <w:sz w:val="28"/>
          <w:szCs w:val="28"/>
        </w:rPr>
        <w:t>- заключение рамочных договоров с подрядными организациями, что сокращает сроки проведения конкурентных процедур и сроки выполнения обязательств сетевой организации;</w:t>
      </w:r>
    </w:p>
    <w:p w:rsidR="00094C97" w:rsidRPr="00094C97" w:rsidRDefault="00094C97" w:rsidP="00094C97">
      <w:pPr>
        <w:widowControl w:val="0"/>
        <w:suppressLineNumbers/>
        <w:suppressAutoHyphens/>
        <w:spacing w:after="0" w:line="276" w:lineRule="auto"/>
        <w:ind w:left="851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C97">
        <w:rPr>
          <w:rFonts w:ascii="Times New Roman" w:hAnsi="Times New Roman" w:cs="Times New Roman"/>
          <w:sz w:val="28"/>
          <w:szCs w:val="28"/>
        </w:rPr>
        <w:t>- пересмотр ранее подготовленных технических заданий в части исключения обязательств по реконструкции существующих сетей и оптимизации технических решений по присоединению потребителей;</w:t>
      </w:r>
    </w:p>
    <w:p w:rsidR="00094C97" w:rsidRPr="00094C97" w:rsidRDefault="00094C97" w:rsidP="00094C97">
      <w:pPr>
        <w:widowControl w:val="0"/>
        <w:suppressLineNumbers/>
        <w:suppressAutoHyphens/>
        <w:spacing w:after="0" w:line="276" w:lineRule="auto"/>
        <w:ind w:left="851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C97">
        <w:rPr>
          <w:rFonts w:ascii="Times New Roman" w:hAnsi="Times New Roman" w:cs="Times New Roman"/>
          <w:sz w:val="28"/>
          <w:szCs w:val="28"/>
        </w:rPr>
        <w:t>- заключение договоров без обязательств со стороны сетевой организации, при наличии технической возможности;</w:t>
      </w:r>
    </w:p>
    <w:p w:rsidR="00094C97" w:rsidRPr="00094C97" w:rsidRDefault="00094C97" w:rsidP="00094C97">
      <w:pPr>
        <w:widowControl w:val="0"/>
        <w:suppressLineNumbers/>
        <w:suppressAutoHyphens/>
        <w:spacing w:after="0" w:line="276" w:lineRule="auto"/>
        <w:ind w:left="851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C97">
        <w:rPr>
          <w:rFonts w:ascii="Times New Roman" w:hAnsi="Times New Roman" w:cs="Times New Roman"/>
          <w:sz w:val="28"/>
          <w:szCs w:val="28"/>
        </w:rPr>
        <w:t>- уведомление заявителей о выполнении обязательств со стороны сетевой организации;</w:t>
      </w:r>
    </w:p>
    <w:p w:rsidR="00094C97" w:rsidRPr="00094C97" w:rsidRDefault="00094C97" w:rsidP="00094C97">
      <w:pPr>
        <w:widowControl w:val="0"/>
        <w:suppressLineNumbers/>
        <w:suppressAutoHyphens/>
        <w:spacing w:after="0" w:line="276" w:lineRule="auto"/>
        <w:ind w:left="851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C97">
        <w:rPr>
          <w:rFonts w:ascii="Times New Roman" w:hAnsi="Times New Roman" w:cs="Times New Roman"/>
          <w:sz w:val="28"/>
          <w:szCs w:val="28"/>
        </w:rPr>
        <w:t>- установление тарифных ставок оплаты договоров технологического присоединения в целях сокращения подготовки оферты договоров ТП;</w:t>
      </w:r>
    </w:p>
    <w:p w:rsidR="00B35ECE" w:rsidRPr="00094C97" w:rsidRDefault="00094C97" w:rsidP="00094C97">
      <w:pPr>
        <w:spacing w:after="0" w:line="276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094C97">
        <w:rPr>
          <w:rFonts w:ascii="Times New Roman" w:hAnsi="Times New Roman" w:cs="Times New Roman"/>
          <w:sz w:val="28"/>
          <w:szCs w:val="28"/>
        </w:rPr>
        <w:t>- разработка внутренних регламентов для оптимизации работы и ускорения выполнения мероприятий по ТП</w:t>
      </w:r>
    </w:p>
    <w:p w:rsidR="00B35ECE" w:rsidRPr="00371A80" w:rsidRDefault="00B35ECE" w:rsidP="00371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ECE" w:rsidRPr="00371A80" w:rsidRDefault="00B35ECE" w:rsidP="00371A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A80">
        <w:rPr>
          <w:rFonts w:ascii="Times New Roman" w:hAnsi="Times New Roman" w:cs="Times New Roman"/>
          <w:sz w:val="28"/>
          <w:szCs w:val="28"/>
        </w:rPr>
        <w:t xml:space="preserve">С целью ликвидации просроченных </w:t>
      </w:r>
      <w:r w:rsidR="002E0F9A">
        <w:rPr>
          <w:rFonts w:ascii="Times New Roman" w:hAnsi="Times New Roman" w:cs="Times New Roman"/>
          <w:sz w:val="28"/>
          <w:szCs w:val="28"/>
        </w:rPr>
        <w:t xml:space="preserve">обязательств по договорам ТП </w:t>
      </w:r>
      <w:r w:rsidRPr="00371A80">
        <w:rPr>
          <w:rFonts w:ascii="Times New Roman" w:hAnsi="Times New Roman" w:cs="Times New Roman"/>
          <w:sz w:val="28"/>
          <w:szCs w:val="28"/>
        </w:rPr>
        <w:t>АО «Янтарьэнерго» также планирует:</w:t>
      </w:r>
    </w:p>
    <w:p w:rsidR="00B35ECE" w:rsidRPr="00371A80" w:rsidRDefault="00B35ECE" w:rsidP="00094C97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71A80">
        <w:rPr>
          <w:rFonts w:ascii="Times New Roman" w:hAnsi="Times New Roman" w:cs="Times New Roman"/>
          <w:sz w:val="28"/>
          <w:szCs w:val="28"/>
        </w:rPr>
        <w:t>- поведение адресной работы по жалобам</w:t>
      </w:r>
      <w:r w:rsidR="002E0F9A">
        <w:rPr>
          <w:rFonts w:ascii="Times New Roman" w:hAnsi="Times New Roman" w:cs="Times New Roman"/>
          <w:sz w:val="28"/>
          <w:szCs w:val="28"/>
        </w:rPr>
        <w:t xml:space="preserve"> заявителей с выездом на объект </w:t>
      </w:r>
      <w:r w:rsidRPr="00371A80">
        <w:rPr>
          <w:rFonts w:ascii="Times New Roman" w:hAnsi="Times New Roman" w:cs="Times New Roman"/>
          <w:sz w:val="28"/>
          <w:szCs w:val="28"/>
        </w:rPr>
        <w:t xml:space="preserve">и фиксацией готовности заявителя </w:t>
      </w:r>
      <w:r w:rsidR="002E0F9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71A80">
        <w:rPr>
          <w:rFonts w:ascii="Times New Roman" w:hAnsi="Times New Roman" w:cs="Times New Roman"/>
          <w:sz w:val="28"/>
          <w:szCs w:val="28"/>
        </w:rPr>
        <w:t>к   осуществлению технологического присоединения;</w:t>
      </w:r>
    </w:p>
    <w:p w:rsidR="00B35ECE" w:rsidRPr="00371A80" w:rsidRDefault="00B35ECE" w:rsidP="00094C97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71A80">
        <w:rPr>
          <w:rFonts w:ascii="Times New Roman" w:hAnsi="Times New Roman" w:cs="Times New Roman"/>
          <w:sz w:val="28"/>
          <w:szCs w:val="28"/>
        </w:rPr>
        <w:t>- выполнение объемов работ по дострой</w:t>
      </w:r>
      <w:r w:rsidR="00094C97">
        <w:rPr>
          <w:rFonts w:ascii="Times New Roman" w:hAnsi="Times New Roman" w:cs="Times New Roman"/>
          <w:sz w:val="28"/>
          <w:szCs w:val="28"/>
        </w:rPr>
        <w:t xml:space="preserve">ке ЛЭП 0,4 кВ (последняя миля) </w:t>
      </w:r>
      <w:r w:rsidRPr="00371A80">
        <w:rPr>
          <w:rFonts w:ascii="Times New Roman" w:hAnsi="Times New Roman" w:cs="Times New Roman"/>
          <w:sz w:val="28"/>
          <w:szCs w:val="28"/>
        </w:rPr>
        <w:t>хозяйственным способом (100 – процентное выполнение объема договоров).</w:t>
      </w:r>
    </w:p>
    <w:p w:rsidR="00B35ECE" w:rsidRPr="00371A80" w:rsidRDefault="00B35ECE" w:rsidP="00094C97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71A80">
        <w:rPr>
          <w:rFonts w:ascii="Times New Roman" w:hAnsi="Times New Roman" w:cs="Times New Roman"/>
          <w:sz w:val="28"/>
          <w:szCs w:val="28"/>
        </w:rPr>
        <w:t>- выполнение работ «под ключ» по ТУ по обязательствам заявителя;</w:t>
      </w:r>
    </w:p>
    <w:p w:rsidR="00B35ECE" w:rsidRDefault="00B35ECE" w:rsidP="00094C97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71A80">
        <w:rPr>
          <w:rFonts w:ascii="Times New Roman" w:hAnsi="Times New Roman" w:cs="Times New Roman"/>
          <w:sz w:val="28"/>
          <w:szCs w:val="28"/>
        </w:rPr>
        <w:t>- создание единой базы сетей на GIS подосно</w:t>
      </w:r>
      <w:r w:rsidR="00094C97">
        <w:rPr>
          <w:rFonts w:ascii="Times New Roman" w:hAnsi="Times New Roman" w:cs="Times New Roman"/>
          <w:sz w:val="28"/>
          <w:szCs w:val="28"/>
        </w:rPr>
        <w:t>ве, электронный документооборот</w:t>
      </w:r>
    </w:p>
    <w:p w:rsidR="00094C97" w:rsidRDefault="00094C97" w:rsidP="003571D7">
      <w:pPr>
        <w:tabs>
          <w:tab w:val="left" w:pos="709"/>
        </w:tabs>
        <w:ind w:left="709" w:right="71"/>
        <w:jc w:val="both"/>
        <w:rPr>
          <w:rFonts w:ascii="Times New Roman" w:hAnsi="Times New Roman" w:cs="Times New Roman"/>
          <w:sz w:val="28"/>
          <w:szCs w:val="28"/>
        </w:rPr>
      </w:pPr>
      <w:r w:rsidRPr="00094C97">
        <w:rPr>
          <w:rFonts w:ascii="Times New Roman" w:hAnsi="Times New Roman" w:cs="Times New Roman"/>
          <w:sz w:val="28"/>
          <w:szCs w:val="28"/>
        </w:rPr>
        <w:t>- разработана программа реконструкции и развития электрических сетей Калининградской области до 2020 года (льготного ТП).</w:t>
      </w:r>
    </w:p>
    <w:tbl>
      <w:tblPr>
        <w:tblW w:w="15168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491"/>
        <w:gridCol w:w="2508"/>
        <w:gridCol w:w="699"/>
        <w:gridCol w:w="713"/>
        <w:gridCol w:w="699"/>
        <w:gridCol w:w="749"/>
        <w:gridCol w:w="704"/>
        <w:gridCol w:w="668"/>
        <w:gridCol w:w="819"/>
        <w:gridCol w:w="704"/>
        <w:gridCol w:w="704"/>
        <w:gridCol w:w="703"/>
        <w:gridCol w:w="704"/>
        <w:gridCol w:w="751"/>
        <w:gridCol w:w="637"/>
        <w:gridCol w:w="997"/>
        <w:gridCol w:w="997"/>
        <w:gridCol w:w="921"/>
      </w:tblGrid>
      <w:tr w:rsidR="002E0F9A" w:rsidRPr="002E0F9A" w:rsidTr="003571D7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3571D7" w:rsidRDefault="003571D7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R17"/>
            <w:r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3.3. </w:t>
            </w:r>
            <w:r w:rsidR="002E0F9A"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Сведения о качестве услуг по технологическому присоединению к электрическим сетям </w:t>
            </w:r>
            <w:r w:rsidR="00094C97"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АО "Янтарьэнерго" </w:t>
            </w:r>
            <w:r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="00094C97"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2016</w:t>
            </w:r>
            <w:r w:rsidR="002E0F9A"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год.</w:t>
            </w:r>
            <w:bookmarkEnd w:id="0"/>
          </w:p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0F9A" w:rsidRPr="002E0F9A" w:rsidTr="003571D7">
        <w:trPr>
          <w:trHeight w:val="408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2E0F9A" w:rsidRPr="00F56AB7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112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Категория присоединения услуг по </w:t>
            </w:r>
            <w:r w:rsidR="009A6014" w:rsidRPr="00D452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передаче электрической</w:t>
            </w:r>
            <w:r w:rsidRPr="00D452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энергии в разбивке по </w:t>
            </w:r>
            <w:r w:rsidR="00BC2690" w:rsidRPr="00D452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мощности,</w:t>
            </w:r>
            <w:r w:rsidRPr="00D452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 динамике по годам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E0F9A" w:rsidRPr="002E0F9A" w:rsidTr="003571D7">
        <w:trPr>
          <w:trHeight w:val="42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9A" w:rsidRPr="002E0F9A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9A" w:rsidRPr="00D452ED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 15 кВТ включительно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свыше 15 кВТ и до 150 кВт включительно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свыше 150 кВТ и менее 670 кВт включительно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E0F9A" w:rsidRPr="00D452ED" w:rsidRDefault="00BC2690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 менее</w:t>
            </w:r>
            <w:r w:rsidR="002E0F9A"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670 кВт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по производству электрической энергии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9A" w:rsidRPr="00D452ED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:rsidTr="003571D7">
        <w:trPr>
          <w:trHeight w:val="858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C97" w:rsidRPr="002E0F9A" w:rsidRDefault="00094C97" w:rsidP="00094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C97" w:rsidRPr="00D452ED" w:rsidRDefault="00094C97" w:rsidP="00094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C97" w:rsidRPr="00D452ED" w:rsidRDefault="00094C97" w:rsidP="00094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:rsidTr="003571D7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94C97" w:rsidRPr="002E0F9A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2B2B0D" w:rsidRPr="002E0F9A" w:rsidTr="003571D7">
        <w:trPr>
          <w:trHeight w:val="57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поданных заявок на ТП, шт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-27%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13%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-75%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5750</w:t>
            </w:r>
          </w:p>
        </w:tc>
      </w:tr>
      <w:tr w:rsidR="002B2B0D" w:rsidRPr="002E0F9A" w:rsidTr="003571D7">
        <w:trPr>
          <w:trHeight w:val="104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поданных заявок на ТП, по которым направлен проект договора об осуществлении ТП к электрическим сетям, шт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-5%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5505</w:t>
            </w:r>
          </w:p>
        </w:tc>
      </w:tr>
      <w:tr w:rsidR="002B2B0D" w:rsidRPr="002E0F9A" w:rsidTr="003571D7">
        <w:trPr>
          <w:trHeight w:val="4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поданных заявок на ТП, по которым направлен проект договора об осуществлении ТП к электрическим сетям,  с нарушение сроков, подтвержденным актами </w:t>
            </w:r>
            <w:r w:rsidR="002B2B0D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контролирующих</w:t>
            </w: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 и решениями суда шт, в том числе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B2B0D" w:rsidRPr="002E0F9A" w:rsidTr="003571D7">
        <w:trPr>
          <w:trHeight w:val="31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вине АО "Янтарьэнерго"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B2B0D" w:rsidRPr="002E0F9A" w:rsidTr="003571D7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вине сторонних лиц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B2B0D" w:rsidRPr="002E0F9A" w:rsidTr="003571D7">
        <w:trPr>
          <w:trHeight w:val="99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Средняя </w:t>
            </w:r>
            <w:r w:rsidR="002B2B0D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продолжительность подготовки</w:t>
            </w: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направления проекта </w:t>
            </w:r>
            <w:r w:rsidR="002B2B0D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договора</w:t>
            </w: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 осуществлении ТП к электрическим сетям, дней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-41%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-48%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-61%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-69%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B2B0D" w:rsidRPr="002E0F9A" w:rsidTr="003571D7">
        <w:trPr>
          <w:trHeight w:val="70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заключенных договоров об осуществлении тп к электрическим сетям, шт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81%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4672</w:t>
            </w:r>
          </w:p>
        </w:tc>
      </w:tr>
      <w:tr w:rsidR="002B2B0D" w:rsidRPr="002E0F9A" w:rsidTr="003571D7">
        <w:trPr>
          <w:trHeight w:val="64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исполненных договоров об осуществлении тп к электрическим сетям, шт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116%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4319</w:t>
            </w:r>
          </w:p>
        </w:tc>
      </w:tr>
      <w:tr w:rsidR="002B2B0D" w:rsidRPr="002E0F9A" w:rsidTr="003571D7">
        <w:trPr>
          <w:trHeight w:val="190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исполненных договоров об осуществлении тп к электрическим сетям, по которым произошло нарушение сроков, подтвержденное актами контролирующих </w:t>
            </w:r>
            <w:r w:rsidR="002B2B0D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организаций</w:t>
            </w: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(или) решениями,шт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-42%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66%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1268</w:t>
            </w:r>
          </w:p>
        </w:tc>
      </w:tr>
      <w:tr w:rsidR="002B2B0D" w:rsidRPr="002E0F9A" w:rsidTr="003571D7">
        <w:trPr>
          <w:trHeight w:val="3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вине АО "Янтарьэнерго"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-42%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66%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1268</w:t>
            </w:r>
          </w:p>
        </w:tc>
      </w:tr>
      <w:tr w:rsidR="002B2B0D" w:rsidRPr="002E0F9A" w:rsidTr="003571D7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вине заявителя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B2B0D" w:rsidRPr="002E0F9A" w:rsidTr="003571D7">
        <w:trPr>
          <w:trHeight w:val="80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Средняя продолж</w:t>
            </w:r>
            <w:r w:rsidR="003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ительность </w:t>
            </w:r>
            <w:r w:rsidR="002B2B0D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исполнения договоров </w:t>
            </w: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осуществлении ТП электрическим сетям, дней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-46%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-13%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</w:tr>
    </w:tbl>
    <w:p w:rsidR="002B2B0D" w:rsidRDefault="002B2B0D" w:rsidP="002B2B0D">
      <w:pPr>
        <w:pStyle w:val="a3"/>
        <w:spacing w:after="0" w:line="276" w:lineRule="auto"/>
        <w:ind w:left="786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82759F" w:rsidRDefault="0082759F" w:rsidP="002B2B0D">
      <w:pPr>
        <w:pStyle w:val="a3"/>
        <w:spacing w:after="0" w:line="276" w:lineRule="auto"/>
        <w:ind w:left="786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82759F" w:rsidRDefault="0082759F" w:rsidP="002B2B0D">
      <w:pPr>
        <w:pStyle w:val="a3"/>
        <w:spacing w:after="0" w:line="276" w:lineRule="auto"/>
        <w:ind w:left="786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82759F" w:rsidRDefault="0082759F" w:rsidP="002B2B0D">
      <w:pPr>
        <w:pStyle w:val="a3"/>
        <w:spacing w:after="0" w:line="276" w:lineRule="auto"/>
        <w:ind w:left="786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82759F" w:rsidRDefault="0082759F" w:rsidP="002B2B0D">
      <w:pPr>
        <w:pStyle w:val="a3"/>
        <w:spacing w:after="0" w:line="276" w:lineRule="auto"/>
        <w:ind w:left="786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571D7" w:rsidRPr="00136D01" w:rsidRDefault="003571D7" w:rsidP="00136D01">
      <w:pPr>
        <w:spacing w:after="0" w:line="276" w:lineRule="auto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82759F" w:rsidRDefault="0082759F" w:rsidP="002B2B0D">
      <w:pPr>
        <w:pStyle w:val="a3"/>
        <w:spacing w:after="0" w:line="276" w:lineRule="auto"/>
        <w:ind w:left="786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B35ECE" w:rsidRDefault="009A6014" w:rsidP="009A6014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9A6014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Качество обслуживания</w:t>
      </w:r>
    </w:p>
    <w:p w:rsidR="00136D01" w:rsidRDefault="00136D01" w:rsidP="00136D01">
      <w:pPr>
        <w:pStyle w:val="a3"/>
        <w:spacing w:after="0" w:line="276" w:lineRule="auto"/>
        <w:ind w:left="786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9A6014" w:rsidRDefault="009A6014" w:rsidP="009A6014">
      <w:pPr>
        <w:pStyle w:val="a3"/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обращений, поступивших в АО «Янтарьэнерго»</w:t>
      </w:r>
    </w:p>
    <w:tbl>
      <w:tblPr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709"/>
        <w:gridCol w:w="708"/>
        <w:gridCol w:w="1134"/>
        <w:gridCol w:w="709"/>
        <w:gridCol w:w="851"/>
        <w:gridCol w:w="708"/>
        <w:gridCol w:w="851"/>
        <w:gridCol w:w="567"/>
        <w:gridCol w:w="567"/>
        <w:gridCol w:w="709"/>
        <w:gridCol w:w="708"/>
        <w:gridCol w:w="709"/>
        <w:gridCol w:w="567"/>
        <w:gridCol w:w="567"/>
        <w:gridCol w:w="425"/>
      </w:tblGrid>
      <w:tr w:rsidR="009C74FD" w:rsidRPr="009C74FD" w:rsidTr="00304E4C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Категории обращений потребителей</w:t>
            </w:r>
          </w:p>
        </w:tc>
        <w:tc>
          <w:tcPr>
            <w:tcW w:w="104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Формы обслуживания</w:t>
            </w:r>
          </w:p>
        </w:tc>
      </w:tr>
      <w:tr w:rsidR="009C74FD" w:rsidRPr="009C74FD" w:rsidTr="00304E4C">
        <w:trPr>
          <w:trHeight w:val="7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Очная форма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Заочная форма с использованием телефонной связи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Электронная форма с использованием сети "Интернет"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Письменная форма с использованием почтовой связи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</w:tr>
      <w:tr w:rsidR="0082759F" w:rsidRPr="009C74FD" w:rsidTr="00304E4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Динамика изменения показателя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82759F" w:rsidRPr="009C74FD" w:rsidTr="00D452E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82759F" w:rsidRPr="009C74FD" w:rsidTr="00D452ED">
        <w:trPr>
          <w:trHeight w:val="2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обращений потребителей в ДЗО,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81 292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18 373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3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2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2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2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отключение электрической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прочее (указать)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2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Жалобы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4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передаче электрической энергии,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4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</w:t>
            </w:r>
            <w:r w:rsid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2.1.2</w:t>
            </w:r>
            <w:r w:rsid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качество электрической 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объектов электросетевого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отключение электрической 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прочее (указать)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на оказание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технологическому присоединению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коммерческого учета электрической 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техническому обслуживанию сетей наружного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техническому обслуживанию и ремонту сетей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переустройству электросетевых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предоставлению технических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испытанию и диагностике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8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выполнению работ, относящихся к компетенции клиента при обуществлении технологического присоединения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3571D7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Допуск сторонних бригад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3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восстановление ранее выданных 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7579E0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продление ту для 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7579E0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дубликат договора 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7579E0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внесение изменений в 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82759F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7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7579E0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Ограничения режима потребления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заявление на перераспределение мощности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7579E0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2759F" w:rsidRPr="009C74FD" w:rsidTr="00D452ED">
        <w:trPr>
          <w:trHeight w:val="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в аренду объектов ДЗО для заявителя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759F" w:rsidRPr="009C74FD" w:rsidTr="00D452ED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топологии сетей (снятие ограничения по землепользованию) в интересах заявителя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4FD" w:rsidRPr="009C74FD" w:rsidRDefault="009C74FD" w:rsidP="009C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71A80" w:rsidRPr="00F56AB7" w:rsidRDefault="00371A80" w:rsidP="00F56AB7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2B0D" w:rsidRDefault="002B2B0D" w:rsidP="002B2B0D">
      <w:pPr>
        <w:pStyle w:val="a3"/>
        <w:spacing w:after="0" w:line="276" w:lineRule="auto"/>
        <w:ind w:left="150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2B0D" w:rsidRDefault="002B2B0D" w:rsidP="002B2B0D">
      <w:pPr>
        <w:pStyle w:val="a3"/>
        <w:spacing w:after="0" w:line="276" w:lineRule="auto"/>
        <w:ind w:left="150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9E0" w:rsidRDefault="007579E0" w:rsidP="002B2B0D">
      <w:pPr>
        <w:pStyle w:val="a3"/>
        <w:spacing w:after="0" w:line="276" w:lineRule="auto"/>
        <w:ind w:left="150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9E0" w:rsidRDefault="007579E0" w:rsidP="002B2B0D">
      <w:pPr>
        <w:pStyle w:val="a3"/>
        <w:spacing w:after="0" w:line="276" w:lineRule="auto"/>
        <w:ind w:left="150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9E0" w:rsidRDefault="007579E0" w:rsidP="002B2B0D">
      <w:pPr>
        <w:pStyle w:val="a3"/>
        <w:spacing w:after="0" w:line="276" w:lineRule="auto"/>
        <w:ind w:left="150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9E0" w:rsidRDefault="007579E0" w:rsidP="002B2B0D">
      <w:pPr>
        <w:pStyle w:val="a3"/>
        <w:spacing w:after="0" w:line="276" w:lineRule="auto"/>
        <w:ind w:left="150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A80" w:rsidRDefault="00F56AB7" w:rsidP="00F56AB7">
      <w:pPr>
        <w:pStyle w:val="a3"/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деятельности офисов обслуживания потребителей</w:t>
      </w:r>
    </w:p>
    <w:p w:rsidR="00F56AB7" w:rsidRDefault="00F56AB7" w:rsidP="00F56AB7">
      <w:pPr>
        <w:pStyle w:val="a3"/>
        <w:spacing w:after="0" w:line="276" w:lineRule="auto"/>
        <w:ind w:left="150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442"/>
        <w:gridCol w:w="1396"/>
        <w:gridCol w:w="851"/>
        <w:gridCol w:w="1984"/>
        <w:gridCol w:w="2039"/>
        <w:gridCol w:w="1221"/>
        <w:gridCol w:w="1701"/>
        <w:gridCol w:w="1418"/>
        <w:gridCol w:w="1417"/>
        <w:gridCol w:w="1033"/>
        <w:gridCol w:w="1802"/>
      </w:tblGrid>
      <w:tr w:rsidR="00F56AB7" w:rsidRPr="00BC2690" w:rsidTr="00304E4C">
        <w:trPr>
          <w:trHeight w:val="12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 обслуживания потребителей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офиса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местонахождения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телефона, адрес электронной почты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Предоставляемые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потребителей, обратившихся очно в отчетном периоде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время на обслуживания потребителя, мин.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время ожидания потребителя в очереди, мин.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сторонних организаций на территории обслуживания (при наличии указать названия организаций)</w:t>
            </w:r>
          </w:p>
        </w:tc>
      </w:tr>
      <w:tr w:rsidR="00F56AB7" w:rsidRPr="00BC2690" w:rsidTr="00FA758F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5B0FAF" w:rsidRPr="00BC2690" w:rsidTr="00FA758F">
        <w:trPr>
          <w:trHeight w:val="9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0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 обслуживания клиентов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Калининград, ул. Театральная, 34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8-800-775-57-48, 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complaint@yantene.ru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пн. - пят. 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09.00-18.00, 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суб. 09.00-15.00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0:04:45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00:05:37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ОАО "Янтарьэнергосбыт"</w:t>
            </w:r>
          </w:p>
        </w:tc>
      </w:tr>
      <w:tr w:rsidR="005B0FAF" w:rsidRPr="00BC2690" w:rsidTr="00FA758F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0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 обслуживания клиентов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Калининград, ул. Дарвина, 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8-800-775-57-48, 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complaint@yantene.ru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пн.-пт.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9.00 -18.00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00:09:46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00:10:08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ОАО "Янтарьэнергосбыт"</w:t>
            </w:r>
          </w:p>
        </w:tc>
      </w:tr>
      <w:tr w:rsidR="005B0FAF" w:rsidRPr="00BC2690" w:rsidTr="00FA758F">
        <w:trPr>
          <w:trHeight w:val="9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0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 обслуживания клиентов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Калининградская область, 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г. Черняховск, 2-ой Дачный переулок 20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8-800-775-57-48, 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complaint@yantene.ru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136D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пн.-пт.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</w:t>
            </w:r>
            <w:r w:rsidR="00136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.00 -1</w:t>
            </w:r>
            <w:r w:rsidR="00136D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.00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00:10:17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0:15:40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ОАО "Янтарьэнергосбыт"</w:t>
            </w:r>
          </w:p>
        </w:tc>
      </w:tr>
      <w:tr w:rsidR="005B0FAF" w:rsidRPr="00BC2690" w:rsidTr="00FA758F">
        <w:trPr>
          <w:trHeight w:val="97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0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 обслуживания клиентов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Калининградская область, 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г. Гурьевск, ул. Советская, 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8-800-775-57-48, 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complaint@yantene.ru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пн. - пят. 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09.00-18.00, 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суб. 09.00-15.00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00:15:05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00:23:12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ОАО "Янтарьэнергосбыт"</w:t>
            </w:r>
          </w:p>
        </w:tc>
      </w:tr>
      <w:tr w:rsidR="005B0FAF" w:rsidRPr="00BC2690" w:rsidTr="00FA758F">
        <w:trPr>
          <w:trHeight w:val="97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AF" w:rsidRPr="005B0FAF" w:rsidRDefault="005B0FAF" w:rsidP="005B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0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AF" w:rsidRPr="005B0FAF" w:rsidRDefault="005B0FAF" w:rsidP="005B0F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 обслуживания клиентов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AF" w:rsidRPr="005B0FAF" w:rsidRDefault="005B0FAF" w:rsidP="005B0F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Калининградская область, 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г. Советск, ул. 9 Января, 15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AF" w:rsidRPr="005B0FAF" w:rsidRDefault="005B0FAF" w:rsidP="005B0F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8-800-775-57-48, 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complaint@yantene.ru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пн.-пт.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9.00 -18.00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00:10:22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00:43:21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ОАО "Янтарьэнергосбыт"</w:t>
            </w:r>
          </w:p>
        </w:tc>
      </w:tr>
      <w:tr w:rsidR="005B0FAF" w:rsidRPr="00BC2690" w:rsidTr="00FA758F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0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Пункт по работе с потребителями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Калиниградская область, г. Зеленоградск, Курортный проспект, 15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8-800-775-57-48, 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complaint@yantene.ru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136D01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пн.-пт.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9.00 -18.00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Многофункциональный центр предоставления государственных и муниципальных услуг</w:t>
            </w:r>
          </w:p>
        </w:tc>
      </w:tr>
    </w:tbl>
    <w:p w:rsidR="002B2B0D" w:rsidRPr="00136D01" w:rsidRDefault="002B2B0D" w:rsidP="00136D0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:rsidR="002B2B0D" w:rsidRDefault="002B2B0D" w:rsidP="002B2B0D">
      <w:pPr>
        <w:pStyle w:val="a3"/>
        <w:spacing w:after="0" w:line="276" w:lineRule="auto"/>
        <w:ind w:left="150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AB7" w:rsidRDefault="00F56AB7" w:rsidP="00F56AB7">
      <w:pPr>
        <w:pStyle w:val="a3"/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заочном обслуживании потребителей посредством телефонной связи</w:t>
      </w:r>
    </w:p>
    <w:p w:rsidR="00F56AB7" w:rsidRDefault="00F56AB7" w:rsidP="00F56AB7">
      <w:pPr>
        <w:pStyle w:val="a3"/>
        <w:spacing w:after="0" w:line="276" w:lineRule="auto"/>
        <w:ind w:left="150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127" w:type="dxa"/>
        <w:tblLook w:val="04A0" w:firstRow="1" w:lastRow="0" w:firstColumn="1" w:lastColumn="0" w:noHBand="0" w:noVBand="1"/>
      </w:tblPr>
      <w:tblGrid>
        <w:gridCol w:w="846"/>
        <w:gridCol w:w="7210"/>
        <w:gridCol w:w="2096"/>
        <w:gridCol w:w="4975"/>
      </w:tblGrid>
      <w:tr w:rsidR="00F56AB7" w:rsidRPr="00F56AB7" w:rsidTr="00304E4C">
        <w:trPr>
          <w:trHeight w:val="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F56AB7" w:rsidRPr="00304E4C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4E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F56AB7" w:rsidRPr="00304E4C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E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F56AB7" w:rsidRPr="00304E4C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4E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F56AB7" w:rsidRPr="00304E4C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4E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FA758F" w:rsidRPr="00F56AB7" w:rsidTr="00FA758F">
        <w:trPr>
          <w:trHeight w:val="10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F" w:rsidRPr="00FA758F" w:rsidRDefault="00FA758F" w:rsidP="00FA758F">
            <w:pPr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Перечень номеров телефонов, выделенных для обслуживания потребител</w:t>
            </w:r>
            <w:r w:rsidR="00304E4C">
              <w:rPr>
                <w:rFonts w:ascii="Times New Roman" w:hAnsi="Times New Roman" w:cs="Times New Roman"/>
                <w:color w:val="000000"/>
              </w:rPr>
              <w:t>е</w:t>
            </w:r>
            <w:r w:rsidRPr="00FA758F">
              <w:rPr>
                <w:rFonts w:ascii="Times New Roman" w:hAnsi="Times New Roman" w:cs="Times New Roman"/>
                <w:color w:val="000000"/>
              </w:rPr>
              <w:t xml:space="preserve">й: </w:t>
            </w:r>
            <w:r w:rsidRPr="00FA758F">
              <w:rPr>
                <w:rFonts w:ascii="Times New Roman" w:hAnsi="Times New Roman" w:cs="Times New Roman"/>
                <w:color w:val="000000"/>
              </w:rPr>
              <w:br/>
              <w:t xml:space="preserve">Номер телефона по вопросам энергоснабжения: </w:t>
            </w:r>
            <w:r w:rsidRPr="00FA758F">
              <w:rPr>
                <w:rFonts w:ascii="Times New Roman" w:hAnsi="Times New Roman" w:cs="Times New Roman"/>
                <w:color w:val="000000"/>
              </w:rPr>
              <w:br/>
              <w:t>Номер телефонов центров обработки телефонных вызовов: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номер телефона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8-800-775-57-48</w:t>
            </w:r>
          </w:p>
        </w:tc>
      </w:tr>
      <w:tr w:rsidR="00FA758F" w:rsidRPr="00F56AB7" w:rsidTr="00FA758F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F" w:rsidRPr="00FA758F" w:rsidRDefault="00FA758F" w:rsidP="00FA758F">
            <w:pPr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единицы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49 493</w:t>
            </w:r>
          </w:p>
        </w:tc>
      </w:tr>
      <w:tr w:rsidR="00FA758F" w:rsidRPr="00F56AB7" w:rsidTr="00FA758F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F" w:rsidRPr="00FA758F" w:rsidRDefault="00FA758F" w:rsidP="00FA758F">
            <w:pPr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Общее число телефонных вызовов от потребителей, на которые ответил оператор организации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единицы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49 493</w:t>
            </w:r>
          </w:p>
        </w:tc>
      </w:tr>
      <w:tr w:rsidR="00FA758F" w:rsidRPr="00F56AB7" w:rsidTr="00FA758F">
        <w:trPr>
          <w:trHeight w:val="6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F" w:rsidRPr="00FA758F" w:rsidRDefault="00FA758F" w:rsidP="00FA758F">
            <w:pPr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единицы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A758F" w:rsidRPr="00F56AB7" w:rsidTr="00FA758F">
        <w:trPr>
          <w:trHeight w:val="6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F" w:rsidRPr="00FA758F" w:rsidRDefault="00FA758F" w:rsidP="00FA758F">
            <w:pPr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мин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A758F" w:rsidRPr="00F56AB7" w:rsidTr="00FA758F">
        <w:trPr>
          <w:trHeight w:val="6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F" w:rsidRPr="00FA758F" w:rsidRDefault="00FA758F" w:rsidP="00FA758F">
            <w:pPr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мин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1 мин 41 сек</w:t>
            </w:r>
          </w:p>
        </w:tc>
      </w:tr>
    </w:tbl>
    <w:p w:rsidR="00F56AB7" w:rsidRDefault="00F56AB7" w:rsidP="00F56AB7">
      <w:pPr>
        <w:pStyle w:val="a3"/>
        <w:spacing w:after="0" w:line="276" w:lineRule="auto"/>
        <w:ind w:left="150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2690" w:rsidRDefault="00BC2690" w:rsidP="00F56AB7">
      <w:pPr>
        <w:pStyle w:val="a3"/>
        <w:spacing w:after="0" w:line="276" w:lineRule="auto"/>
        <w:ind w:left="150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2690" w:rsidRDefault="00BC2690" w:rsidP="00F56AB7">
      <w:pPr>
        <w:pStyle w:val="a3"/>
        <w:spacing w:after="0" w:line="276" w:lineRule="auto"/>
        <w:ind w:left="150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90" w:rsidRPr="00BC2690" w:rsidRDefault="00BC2690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690">
        <w:rPr>
          <w:rFonts w:ascii="Times New Roman" w:hAnsi="Times New Roman" w:cs="Times New Roman"/>
          <w:b/>
          <w:sz w:val="28"/>
          <w:szCs w:val="28"/>
        </w:rPr>
        <w:t>Отчет о проведении опроса потребителей услуг АО «Янтарьэнерго» по изучению степени удовлетворенности качеством предоставляемых АО «Янтарьэнерго» услуг</w:t>
      </w:r>
    </w:p>
    <w:p w:rsidR="00BC2690" w:rsidRDefault="00BC2690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BC2690" w:rsidRPr="009922A8" w:rsidRDefault="00BC2690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D79C2" w:rsidRPr="008D79C2" w:rsidRDefault="008D79C2" w:rsidP="008D79C2">
      <w:pPr>
        <w:tabs>
          <w:tab w:val="left" w:pos="1134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C2">
        <w:rPr>
          <w:rFonts w:ascii="Times New Roman" w:hAnsi="Times New Roman" w:cs="Times New Roman"/>
          <w:sz w:val="28"/>
          <w:szCs w:val="28"/>
        </w:rPr>
        <w:t>В целях изучения мнения потребителей в 2016 году проведены целевые опросы по темам:</w:t>
      </w:r>
    </w:p>
    <w:p w:rsidR="008D79C2" w:rsidRPr="008D79C2" w:rsidRDefault="008D79C2" w:rsidP="008D79C2">
      <w:pPr>
        <w:tabs>
          <w:tab w:val="left" w:pos="1134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C2">
        <w:rPr>
          <w:rFonts w:ascii="Times New Roman" w:hAnsi="Times New Roman" w:cs="Times New Roman"/>
          <w:sz w:val="28"/>
          <w:szCs w:val="28"/>
        </w:rPr>
        <w:t>1. Оказание услуги по технологическому присоединению через МФЦ;</w:t>
      </w:r>
    </w:p>
    <w:p w:rsidR="008D79C2" w:rsidRPr="008D79C2" w:rsidRDefault="008D79C2" w:rsidP="008D79C2">
      <w:pPr>
        <w:tabs>
          <w:tab w:val="left" w:pos="1134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C2">
        <w:rPr>
          <w:rFonts w:ascii="Times New Roman" w:hAnsi="Times New Roman" w:cs="Times New Roman"/>
          <w:sz w:val="28"/>
          <w:szCs w:val="28"/>
        </w:rPr>
        <w:t>2. Удовлетворенность эффективностью подключения к электрическим сетям.</w:t>
      </w:r>
    </w:p>
    <w:p w:rsidR="008D79C2" w:rsidRPr="008D79C2" w:rsidRDefault="008D79C2" w:rsidP="008D79C2">
      <w:pPr>
        <w:tabs>
          <w:tab w:val="left" w:pos="1134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C2">
        <w:rPr>
          <w:rFonts w:ascii="Times New Roman" w:hAnsi="Times New Roman" w:cs="Times New Roman"/>
          <w:sz w:val="28"/>
          <w:szCs w:val="28"/>
        </w:rPr>
        <w:t>Всего в опросе приняло участие 203 респондента.</w:t>
      </w:r>
    </w:p>
    <w:p w:rsidR="008D79C2" w:rsidRPr="008D79C2" w:rsidRDefault="008D79C2" w:rsidP="008D79C2">
      <w:pPr>
        <w:tabs>
          <w:tab w:val="left" w:pos="1134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C2">
        <w:rPr>
          <w:rFonts w:ascii="Times New Roman" w:hAnsi="Times New Roman" w:cs="Times New Roman"/>
          <w:sz w:val="28"/>
          <w:szCs w:val="28"/>
        </w:rPr>
        <w:t>Результаты анкетирования показали, что подавляющее большинство опрош</w:t>
      </w:r>
      <w:r w:rsidR="00D452ED">
        <w:rPr>
          <w:rFonts w:ascii="Times New Roman" w:hAnsi="Times New Roman" w:cs="Times New Roman"/>
          <w:sz w:val="28"/>
          <w:szCs w:val="28"/>
        </w:rPr>
        <w:t xml:space="preserve">енных против оказания услуги по </w:t>
      </w:r>
      <w:r w:rsidRPr="008D79C2">
        <w:rPr>
          <w:rFonts w:ascii="Times New Roman" w:hAnsi="Times New Roman" w:cs="Times New Roman"/>
          <w:sz w:val="28"/>
          <w:szCs w:val="28"/>
        </w:rPr>
        <w:t xml:space="preserve">технологическому присоединению через МФЦ. </w:t>
      </w:r>
    </w:p>
    <w:p w:rsidR="008D79C2" w:rsidRPr="008D79C2" w:rsidRDefault="008D79C2" w:rsidP="008D79C2">
      <w:pPr>
        <w:tabs>
          <w:tab w:val="left" w:pos="1134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C2">
        <w:rPr>
          <w:rFonts w:ascii="Times New Roman" w:hAnsi="Times New Roman" w:cs="Times New Roman"/>
          <w:sz w:val="28"/>
          <w:szCs w:val="28"/>
        </w:rPr>
        <w:t>В свою очередь, по результатам данных, полученных в результате второго опроса, в целом показал удовлетворенность потребителей ус</w:t>
      </w:r>
      <w:r>
        <w:rPr>
          <w:rFonts w:ascii="Times New Roman" w:hAnsi="Times New Roman" w:cs="Times New Roman"/>
          <w:sz w:val="28"/>
          <w:szCs w:val="28"/>
        </w:rPr>
        <w:t xml:space="preserve">луг эффективностью подключения </w:t>
      </w:r>
      <w:r w:rsidRPr="008D79C2">
        <w:rPr>
          <w:rFonts w:ascii="Times New Roman" w:hAnsi="Times New Roman" w:cs="Times New Roman"/>
          <w:sz w:val="28"/>
          <w:szCs w:val="28"/>
        </w:rPr>
        <w:t xml:space="preserve">к электрическим сетям АО «Янтарьэнерго». Особенно высоко потребителями был отмечен профессионализм сотрудников. </w:t>
      </w:r>
    </w:p>
    <w:p w:rsidR="008D79C2" w:rsidRDefault="008D79C2" w:rsidP="008D79C2">
      <w:pPr>
        <w:pStyle w:val="ad"/>
        <w:rPr>
          <w:rFonts w:ascii="Arial Narrow" w:hAnsi="Arial Narrow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9"/>
        <w:gridCol w:w="1905"/>
        <w:gridCol w:w="2213"/>
        <w:gridCol w:w="1616"/>
        <w:gridCol w:w="2059"/>
        <w:gridCol w:w="5106"/>
      </w:tblGrid>
      <w:tr w:rsidR="008D79C2" w:rsidTr="00D452ED">
        <w:trPr>
          <w:trHeight w:val="55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ДЗО/филиал ДЗО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</w:t>
            </w:r>
            <w:r w:rsidRPr="008D79C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[1]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исследования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проведения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респондентов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исследования</w:t>
            </w:r>
          </w:p>
        </w:tc>
      </w:tr>
      <w:tr w:rsidR="008D79C2" w:rsidTr="00D452ED">
        <w:trPr>
          <w:trHeight w:val="324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D79C2" w:rsidTr="00D452ED">
        <w:trPr>
          <w:trHeight w:val="27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АО «Янтарьэнерго»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</w:t>
            </w:r>
          </w:p>
        </w:tc>
        <w:tc>
          <w:tcPr>
            <w:tcW w:w="1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мнения потребителей услуг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«Янтарьэнерго» о необходимости открытия дополнительных пунктов по работе с потребителями, а также предоставления услуги по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ехнологическому присоединению в </w:t>
            </w: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многофункциональных центрах предоставления государственных услуг Калининградской области</w:t>
            </w:r>
          </w:p>
        </w:tc>
      </w:tr>
      <w:tr w:rsidR="008D79C2" w:rsidTr="00D452ED">
        <w:trPr>
          <w:trHeight w:val="27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«Янтарьэнерго»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38</w:t>
            </w:r>
          </w:p>
        </w:tc>
        <w:tc>
          <w:tcPr>
            <w:tcW w:w="16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C2" w:rsidTr="00D452ED">
        <w:trPr>
          <w:trHeight w:val="27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АО «Янтарьэнерго»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 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1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C2" w:rsidTr="00D452ED">
        <w:trPr>
          <w:trHeight w:val="27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«Янтарьэнерго»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зучение степени удовлетворённости эффективности подключения к электрическим сетям</w:t>
            </w:r>
          </w:p>
        </w:tc>
      </w:tr>
    </w:tbl>
    <w:p w:rsidR="00BC2690" w:rsidRDefault="00BC2690" w:rsidP="00371A80">
      <w:pPr>
        <w:pStyle w:val="a3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79C2" w:rsidRDefault="008D79C2" w:rsidP="00BC2690">
      <w:pPr>
        <w:pStyle w:val="a3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21E6" w:rsidRPr="00D452ED" w:rsidRDefault="00BC2690" w:rsidP="00D452ED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2ED">
        <w:rPr>
          <w:rFonts w:ascii="Times New Roman" w:hAnsi="Times New Roman" w:cs="Times New Roman"/>
          <w:b/>
          <w:sz w:val="28"/>
          <w:szCs w:val="28"/>
        </w:rPr>
        <w:t>Мероприятия, выпо</w:t>
      </w:r>
      <w:r w:rsidR="00FA758F" w:rsidRPr="00D452ED">
        <w:rPr>
          <w:rFonts w:ascii="Times New Roman" w:hAnsi="Times New Roman" w:cs="Times New Roman"/>
          <w:b/>
          <w:sz w:val="28"/>
          <w:szCs w:val="28"/>
        </w:rPr>
        <w:t>лненные АО «Янтарьэнерго» в 2016</w:t>
      </w:r>
      <w:r w:rsidRPr="00D452ED">
        <w:rPr>
          <w:rFonts w:ascii="Times New Roman" w:hAnsi="Times New Roman" w:cs="Times New Roman"/>
          <w:b/>
          <w:sz w:val="28"/>
          <w:szCs w:val="28"/>
        </w:rPr>
        <w:t xml:space="preserve"> году в целях повышения качества обслуживания потребителей.</w:t>
      </w:r>
    </w:p>
    <w:p w:rsidR="00BC2690" w:rsidRDefault="00BC2690" w:rsidP="00BC2690">
      <w:pPr>
        <w:pStyle w:val="a3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79C2" w:rsidRPr="008D79C2" w:rsidRDefault="008D79C2" w:rsidP="00D452ED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C2">
        <w:rPr>
          <w:rFonts w:ascii="Times New Roman" w:hAnsi="Times New Roman" w:cs="Times New Roman"/>
          <w:sz w:val="28"/>
          <w:szCs w:val="28"/>
        </w:rPr>
        <w:t>В рамках реализации мероприятий по повышению качества услуг и обслуживания, внедрению клиентоориентированного подхода в рамках «Дорожной карты» «Повышение доступности энергетической инфраструктуры», утвержденной Распоряжением Правительства Российской Федерации от 30.06.2012 г. № 1144-р в 2015 году проведены следующие мероприятия:</w:t>
      </w:r>
    </w:p>
    <w:p w:rsidR="008D79C2" w:rsidRPr="008D79C2" w:rsidRDefault="008D79C2" w:rsidP="008D79C2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9C2">
        <w:rPr>
          <w:rFonts w:ascii="Times New Roman" w:hAnsi="Times New Roman" w:cs="Times New Roman"/>
          <w:sz w:val="28"/>
          <w:szCs w:val="28"/>
        </w:rPr>
        <w:t xml:space="preserve">В целях повышения качества обслуживания потребителей услуг АО «Янтарьэнерго» в 2016 году сотрудники Дирекции взаимодействия с клиентами прошли обучение </w:t>
      </w:r>
      <w:r w:rsidRPr="008D79C2">
        <w:rPr>
          <w:rFonts w:ascii="Times New Roman" w:hAnsi="Times New Roman" w:cs="Times New Roman"/>
          <w:bCs/>
          <w:sz w:val="28"/>
          <w:szCs w:val="28"/>
        </w:rPr>
        <w:t xml:space="preserve">на курсах повышения квалификации в ФГАОУВО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D79C2">
        <w:rPr>
          <w:rFonts w:ascii="Times New Roman" w:hAnsi="Times New Roman" w:cs="Times New Roman"/>
          <w:bCs/>
          <w:sz w:val="28"/>
          <w:szCs w:val="28"/>
        </w:rPr>
        <w:t>БФУ им. И. Канта в г. Калининграде по теме: «Методы разрешения конфликтов и спорных ситуаций».</w:t>
      </w:r>
    </w:p>
    <w:p w:rsidR="008D79C2" w:rsidRPr="008D79C2" w:rsidRDefault="008D79C2" w:rsidP="008D79C2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C2">
        <w:rPr>
          <w:rFonts w:ascii="Times New Roman" w:hAnsi="Times New Roman" w:cs="Times New Roman"/>
          <w:sz w:val="28"/>
          <w:szCs w:val="28"/>
        </w:rPr>
        <w:t xml:space="preserve">В целях повышения обратной связи в 2016 году проведено 23 личных приема граждан заместителями генерального директора по направлению. </w:t>
      </w:r>
    </w:p>
    <w:p w:rsidR="008D79C2" w:rsidRPr="008D79C2" w:rsidRDefault="008D79C2" w:rsidP="008D79C2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C2">
        <w:rPr>
          <w:rFonts w:ascii="Times New Roman" w:hAnsi="Times New Roman" w:cs="Times New Roman"/>
          <w:sz w:val="28"/>
          <w:szCs w:val="28"/>
        </w:rPr>
        <w:t xml:space="preserve">В Центрах обслуживания потребителей проконсультировано 5 496 Заявителей, из них в окно по сложным вопросам ТП принято 522 Заявителя.                                                                                                                                                               </w:t>
      </w:r>
    </w:p>
    <w:p w:rsidR="008D79C2" w:rsidRPr="008D79C2" w:rsidRDefault="008D79C2" w:rsidP="008D79C2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C2">
        <w:rPr>
          <w:rFonts w:ascii="Times New Roman" w:hAnsi="Times New Roman" w:cs="Times New Roman"/>
          <w:sz w:val="28"/>
          <w:szCs w:val="28"/>
        </w:rPr>
        <w:t xml:space="preserve">В целях повышения информационной доступности и открытости деятельности Общества в 2016 году заключен договор поставки информационных стендов для размещения ключевой информации о деятельности АО «Янтарьэнерго» </w:t>
      </w:r>
      <w:r>
        <w:rPr>
          <w:rFonts w:ascii="Times New Roman" w:hAnsi="Times New Roman" w:cs="Times New Roman"/>
          <w:sz w:val="28"/>
          <w:szCs w:val="28"/>
        </w:rPr>
        <w:br/>
      </w:r>
      <w:r w:rsidRPr="008D79C2">
        <w:rPr>
          <w:rFonts w:ascii="Times New Roman" w:hAnsi="Times New Roman" w:cs="Times New Roman"/>
          <w:sz w:val="28"/>
          <w:szCs w:val="28"/>
        </w:rPr>
        <w:t>во всех РЭС Общества.</w:t>
      </w:r>
    </w:p>
    <w:p w:rsidR="008D79C2" w:rsidRPr="008D79C2" w:rsidRDefault="008D79C2" w:rsidP="008D79C2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C2">
        <w:rPr>
          <w:rFonts w:ascii="Times New Roman" w:hAnsi="Times New Roman" w:cs="Times New Roman"/>
          <w:sz w:val="28"/>
          <w:szCs w:val="28"/>
        </w:rPr>
        <w:t xml:space="preserve">Кроме того, для оптимизации бизнес-процесса в части организации приема, учета и контроля исполнения корректирующих мероприятий по обращениям потребителей услуг заключен договор с подрядной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8D79C2">
        <w:rPr>
          <w:rFonts w:ascii="Times New Roman" w:hAnsi="Times New Roman" w:cs="Times New Roman"/>
          <w:sz w:val="28"/>
          <w:szCs w:val="28"/>
        </w:rPr>
        <w:t>на разработку и внедрение автоматизированной системы управления обращениями потребителями услуг на платформе 1С: Предприятие 8.3, с возможность интеграции данных с существующими информационными системами Общества.</w:t>
      </w:r>
    </w:p>
    <w:p w:rsidR="008D79C2" w:rsidRPr="008D79C2" w:rsidRDefault="008D79C2" w:rsidP="008D79C2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C2">
        <w:rPr>
          <w:rFonts w:ascii="Times New Roman" w:hAnsi="Times New Roman" w:cs="Times New Roman"/>
          <w:sz w:val="28"/>
          <w:szCs w:val="28"/>
        </w:rPr>
        <w:t>В 2016 году были изменены и дополнены внутренние документы АО «Янтарьэнерго», регламентирующие взаимодействие Общества с потребителями услуг:</w:t>
      </w:r>
    </w:p>
    <w:p w:rsidR="008D79C2" w:rsidRPr="008D79C2" w:rsidRDefault="008D79C2" w:rsidP="008D79C2">
      <w:pPr>
        <w:tabs>
          <w:tab w:val="left" w:pos="1134"/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C2">
        <w:rPr>
          <w:rFonts w:ascii="Times New Roman" w:hAnsi="Times New Roman" w:cs="Times New Roman"/>
          <w:sz w:val="28"/>
          <w:szCs w:val="28"/>
        </w:rPr>
        <w:t xml:space="preserve">- Приказ № 47 от 09.02.2016 г. "О внесении изменений в организацию единого многоканального номера "8-800""; </w:t>
      </w:r>
    </w:p>
    <w:p w:rsidR="008D79C2" w:rsidRPr="008D79C2" w:rsidRDefault="008D79C2" w:rsidP="008D79C2">
      <w:pPr>
        <w:tabs>
          <w:tab w:val="left" w:pos="1134"/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C2">
        <w:rPr>
          <w:rFonts w:ascii="Times New Roman" w:hAnsi="Times New Roman" w:cs="Times New Roman"/>
          <w:sz w:val="28"/>
          <w:szCs w:val="28"/>
        </w:rPr>
        <w:t xml:space="preserve">- Приказ № 71 от 01.03.2016 г. "О введении в действие регламента осуществления процедуры безвозмездной передачи электросетевого имущества заявителей в собственность АО "Янтарьэнерго""; </w:t>
      </w:r>
    </w:p>
    <w:p w:rsidR="008D79C2" w:rsidRPr="008D79C2" w:rsidRDefault="008D79C2" w:rsidP="008D79C2">
      <w:pPr>
        <w:tabs>
          <w:tab w:val="left" w:pos="1134"/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C2">
        <w:rPr>
          <w:rFonts w:ascii="Times New Roman" w:hAnsi="Times New Roman" w:cs="Times New Roman"/>
          <w:sz w:val="28"/>
          <w:szCs w:val="28"/>
        </w:rPr>
        <w:t xml:space="preserve">- Приказ № 91 от 22.03.2016 г. "О подписании документов по ТП"; </w:t>
      </w:r>
    </w:p>
    <w:p w:rsidR="008D79C2" w:rsidRPr="008D79C2" w:rsidRDefault="008D79C2" w:rsidP="008D79C2">
      <w:pPr>
        <w:tabs>
          <w:tab w:val="left" w:pos="1134"/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C2">
        <w:rPr>
          <w:rFonts w:ascii="Times New Roman" w:hAnsi="Times New Roman" w:cs="Times New Roman"/>
          <w:sz w:val="28"/>
          <w:szCs w:val="28"/>
        </w:rPr>
        <w:t>- Приказ № 118 от 13.04.2016 г. «Об утверждении Стандарта организации «Регламент организации и проведения контроля и мониторинга качества в электросетевом комплексе ПАО «Россети» и «Порядок рассмотрения жалоб потребителей на качество электрической энергии».</w:t>
      </w:r>
    </w:p>
    <w:p w:rsidR="008D79C2" w:rsidRPr="008D79C2" w:rsidRDefault="008D79C2" w:rsidP="003571D7">
      <w:pPr>
        <w:tabs>
          <w:tab w:val="left" w:pos="1134"/>
          <w:tab w:val="left" w:pos="1418"/>
        </w:tabs>
        <w:spacing w:after="0" w:line="276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79C2">
        <w:rPr>
          <w:rFonts w:ascii="Times New Roman" w:hAnsi="Times New Roman" w:cs="Times New Roman"/>
          <w:sz w:val="28"/>
          <w:szCs w:val="28"/>
        </w:rPr>
        <w:t xml:space="preserve">- Приказ № 159 от 18.05.2016 г. "Об утверждении новой редакции Регламента осуществления процедуры выноса (переустройства) электросетевых объектов АО "Янтарьэнерго" в интересах заявителей"; </w:t>
      </w:r>
    </w:p>
    <w:p w:rsidR="008D79C2" w:rsidRPr="008D79C2" w:rsidRDefault="008D79C2" w:rsidP="003571D7">
      <w:pPr>
        <w:tabs>
          <w:tab w:val="left" w:pos="1134"/>
          <w:tab w:val="left" w:pos="1418"/>
        </w:tabs>
        <w:spacing w:after="0" w:line="276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79C2">
        <w:rPr>
          <w:rFonts w:ascii="Times New Roman" w:hAnsi="Times New Roman" w:cs="Times New Roman"/>
          <w:sz w:val="28"/>
          <w:szCs w:val="28"/>
        </w:rPr>
        <w:t>- Приказ 406 от 29.11.2016 г. "Об утверждении Регламента согласования проектной документации заявителя в рамках технологического присоединения".</w:t>
      </w:r>
    </w:p>
    <w:p w:rsidR="008D79C2" w:rsidRPr="008D79C2" w:rsidRDefault="008D79C2" w:rsidP="003571D7">
      <w:pPr>
        <w:tabs>
          <w:tab w:val="left" w:pos="1134"/>
          <w:tab w:val="left" w:pos="1418"/>
        </w:tabs>
        <w:spacing w:after="0" w:line="276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79C2">
        <w:rPr>
          <w:rFonts w:ascii="Times New Roman" w:hAnsi="Times New Roman" w:cs="Times New Roman"/>
          <w:sz w:val="28"/>
          <w:szCs w:val="28"/>
        </w:rPr>
        <w:t xml:space="preserve">- Приказ № 46 от 09.02.2016 г. «Об утверждении Положения о проведении анкетирования потребителей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8D79C2">
        <w:rPr>
          <w:rFonts w:ascii="Times New Roman" w:hAnsi="Times New Roman" w:cs="Times New Roman"/>
          <w:sz w:val="28"/>
          <w:szCs w:val="28"/>
        </w:rPr>
        <w:t>АО «Янтарьэнерго»</w:t>
      </w:r>
    </w:p>
    <w:p w:rsidR="008D79C2" w:rsidRPr="008D79C2" w:rsidRDefault="008D79C2" w:rsidP="003571D7">
      <w:pPr>
        <w:pStyle w:val="a3"/>
        <w:numPr>
          <w:ilvl w:val="0"/>
          <w:numId w:val="6"/>
        </w:numPr>
        <w:tabs>
          <w:tab w:val="left" w:pos="1134"/>
          <w:tab w:val="left" w:pos="1418"/>
        </w:tabs>
        <w:spacing w:after="0" w:line="276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79C2">
        <w:rPr>
          <w:rFonts w:ascii="Times New Roman" w:hAnsi="Times New Roman" w:cs="Times New Roman"/>
          <w:sz w:val="28"/>
          <w:szCs w:val="28"/>
        </w:rPr>
        <w:t xml:space="preserve">Раздел сайта АО "Янтарьэнерго" «Потребителям» и «Раскрытие информации» приведен в соответствие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8D79C2">
        <w:rPr>
          <w:rFonts w:ascii="Times New Roman" w:hAnsi="Times New Roman" w:cs="Times New Roman"/>
          <w:sz w:val="28"/>
          <w:szCs w:val="28"/>
        </w:rPr>
        <w:t>с требованиями Стандартов.</w:t>
      </w:r>
    </w:p>
    <w:p w:rsidR="008D79C2" w:rsidRPr="008D79C2" w:rsidRDefault="008D79C2" w:rsidP="003571D7">
      <w:pPr>
        <w:pStyle w:val="a3"/>
        <w:numPr>
          <w:ilvl w:val="0"/>
          <w:numId w:val="6"/>
        </w:numPr>
        <w:spacing w:after="0" w:line="276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79C2">
        <w:rPr>
          <w:rFonts w:ascii="Times New Roman" w:hAnsi="Times New Roman" w:cs="Times New Roman"/>
          <w:sz w:val="28"/>
          <w:szCs w:val="28"/>
        </w:rPr>
        <w:t xml:space="preserve">В 2016 году скорректирована Программа мероприятий по приведению системы обслуживания потребителей услуг АО «Янтарьэнерго» в соответствие с требованиями Стандартов качества обслуживания потребителей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8D79C2">
        <w:rPr>
          <w:rFonts w:ascii="Times New Roman" w:hAnsi="Times New Roman" w:cs="Times New Roman"/>
          <w:sz w:val="28"/>
          <w:szCs w:val="28"/>
        </w:rPr>
        <w:t>АО «Янтарьэнерго» на 2017-2018 гг. согласно которому в 2017 году планируется выполнить следующие мероприятия:</w:t>
      </w:r>
    </w:p>
    <w:p w:rsidR="008D79C2" w:rsidRPr="008D79C2" w:rsidRDefault="008D79C2" w:rsidP="003571D7">
      <w:pPr>
        <w:spacing w:after="0" w:line="276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79C2">
        <w:rPr>
          <w:rFonts w:ascii="Times New Roman" w:hAnsi="Times New Roman" w:cs="Times New Roman"/>
          <w:sz w:val="28"/>
          <w:szCs w:val="28"/>
        </w:rPr>
        <w:t>- размещение информационных стендов в РЭС.</w:t>
      </w:r>
    </w:p>
    <w:p w:rsidR="008D79C2" w:rsidRPr="008D79C2" w:rsidRDefault="008D79C2" w:rsidP="003571D7">
      <w:pPr>
        <w:spacing w:after="0" w:line="276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79C2">
        <w:rPr>
          <w:rFonts w:ascii="Times New Roman" w:hAnsi="Times New Roman" w:cs="Times New Roman"/>
          <w:sz w:val="28"/>
          <w:szCs w:val="28"/>
        </w:rPr>
        <w:t>- организация дополнительных услуг.</w:t>
      </w:r>
    </w:p>
    <w:p w:rsidR="008D79C2" w:rsidRPr="008D79C2" w:rsidRDefault="008D79C2" w:rsidP="003571D7">
      <w:pPr>
        <w:spacing w:after="0" w:line="276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79C2">
        <w:rPr>
          <w:rFonts w:ascii="Times New Roman" w:hAnsi="Times New Roman" w:cs="Times New Roman"/>
          <w:sz w:val="28"/>
          <w:szCs w:val="28"/>
        </w:rPr>
        <w:t xml:space="preserve">- организация и проведение </w:t>
      </w:r>
      <w:r w:rsidRPr="008D79C2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8D79C2">
        <w:rPr>
          <w:rFonts w:ascii="Times New Roman" w:hAnsi="Times New Roman" w:cs="Times New Roman"/>
          <w:sz w:val="28"/>
          <w:szCs w:val="28"/>
        </w:rPr>
        <w:t>-компаний (конференции, презентации, день открытых дв</w:t>
      </w:r>
      <w:r w:rsidR="00D452ED">
        <w:rPr>
          <w:rFonts w:ascii="Times New Roman" w:hAnsi="Times New Roman" w:cs="Times New Roman"/>
          <w:sz w:val="28"/>
          <w:szCs w:val="28"/>
        </w:rPr>
        <w:t xml:space="preserve">ерей, информационные выставки и </w:t>
      </w:r>
      <w:r w:rsidRPr="008D79C2">
        <w:rPr>
          <w:rFonts w:ascii="Times New Roman" w:hAnsi="Times New Roman" w:cs="Times New Roman"/>
          <w:sz w:val="28"/>
          <w:szCs w:val="28"/>
        </w:rPr>
        <w:t>т.д.)</w:t>
      </w:r>
    </w:p>
    <w:p w:rsidR="008D79C2" w:rsidRPr="008D79C2" w:rsidRDefault="008D79C2" w:rsidP="003571D7">
      <w:pPr>
        <w:spacing w:after="0" w:line="276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79C2">
        <w:rPr>
          <w:rFonts w:ascii="Times New Roman" w:hAnsi="Times New Roman" w:cs="Times New Roman"/>
          <w:sz w:val="28"/>
          <w:szCs w:val="28"/>
        </w:rPr>
        <w:t>- внедрение автоматизированной системы управления обращениями потребителями услуг (СRМ-система).</w:t>
      </w:r>
    </w:p>
    <w:p w:rsidR="008D79C2" w:rsidRPr="008D79C2" w:rsidRDefault="008D79C2" w:rsidP="003571D7">
      <w:pPr>
        <w:spacing w:after="0" w:line="276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79C2">
        <w:rPr>
          <w:rFonts w:ascii="Times New Roman" w:hAnsi="Times New Roman" w:cs="Times New Roman"/>
          <w:sz w:val="28"/>
          <w:szCs w:val="28"/>
        </w:rPr>
        <w:t>- разработка методологии внутреннего контроля качества обслуживания потребителей услуг.</w:t>
      </w:r>
    </w:p>
    <w:p w:rsidR="008D79C2" w:rsidRDefault="008D79C2" w:rsidP="003571D7">
      <w:pPr>
        <w:tabs>
          <w:tab w:val="left" w:pos="567"/>
          <w:tab w:val="left" w:pos="1134"/>
        </w:tabs>
        <w:ind w:left="284" w:firstLine="425"/>
        <w:jc w:val="both"/>
        <w:rPr>
          <w:rFonts w:ascii="Arial Narrow" w:hAnsi="Arial Narrow"/>
          <w:szCs w:val="26"/>
        </w:rPr>
      </w:pPr>
    </w:p>
    <w:p w:rsidR="00371A80" w:rsidRDefault="00371A80" w:rsidP="00371A80">
      <w:pPr>
        <w:pStyle w:val="a3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A80" w:rsidRDefault="00371A80" w:rsidP="00371A80">
      <w:pPr>
        <w:pStyle w:val="a3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A80" w:rsidRPr="00B35ECE" w:rsidRDefault="00371A80" w:rsidP="00371A80">
      <w:pPr>
        <w:pStyle w:val="a3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71A80" w:rsidRPr="00B35ECE" w:rsidSect="00D452E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E4C" w:rsidRDefault="00304E4C">
      <w:pPr>
        <w:spacing w:after="0" w:line="240" w:lineRule="auto"/>
      </w:pPr>
      <w:r>
        <w:separator/>
      </w:r>
    </w:p>
  </w:endnote>
  <w:endnote w:type="continuationSeparator" w:id="0">
    <w:p w:rsidR="00304E4C" w:rsidRDefault="0030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E4C" w:rsidRDefault="00304E4C">
      <w:pPr>
        <w:spacing w:after="0" w:line="240" w:lineRule="auto"/>
      </w:pPr>
      <w:r>
        <w:separator/>
      </w:r>
    </w:p>
  </w:footnote>
  <w:footnote w:type="continuationSeparator" w:id="0">
    <w:p w:rsidR="00304E4C" w:rsidRDefault="00304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F329F"/>
    <w:multiLevelType w:val="hybridMultilevel"/>
    <w:tmpl w:val="2744D5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FE04D7"/>
    <w:multiLevelType w:val="multilevel"/>
    <w:tmpl w:val="73D087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F5A3F74"/>
    <w:multiLevelType w:val="hybridMultilevel"/>
    <w:tmpl w:val="FC027C6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167029F"/>
    <w:multiLevelType w:val="hybridMultilevel"/>
    <w:tmpl w:val="466ACA8E"/>
    <w:lvl w:ilvl="0" w:tplc="245055E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0C94934"/>
    <w:multiLevelType w:val="hybridMultilevel"/>
    <w:tmpl w:val="43FC65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5FE73F5"/>
    <w:multiLevelType w:val="multilevel"/>
    <w:tmpl w:val="20EC6C7A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BD"/>
    <w:rsid w:val="00046631"/>
    <w:rsid w:val="0004740E"/>
    <w:rsid w:val="00094C97"/>
    <w:rsid w:val="000F21E6"/>
    <w:rsid w:val="00113C7C"/>
    <w:rsid w:val="00136D01"/>
    <w:rsid w:val="002B2B0D"/>
    <w:rsid w:val="002E0F9A"/>
    <w:rsid w:val="00304E4C"/>
    <w:rsid w:val="003571D7"/>
    <w:rsid w:val="00371A80"/>
    <w:rsid w:val="003A3E51"/>
    <w:rsid w:val="003E75F0"/>
    <w:rsid w:val="005B0FAF"/>
    <w:rsid w:val="005E0F3B"/>
    <w:rsid w:val="00623CBC"/>
    <w:rsid w:val="00755BDD"/>
    <w:rsid w:val="007579E0"/>
    <w:rsid w:val="00826863"/>
    <w:rsid w:val="0082759F"/>
    <w:rsid w:val="008D79C2"/>
    <w:rsid w:val="0098561B"/>
    <w:rsid w:val="009A6014"/>
    <w:rsid w:val="009C74FD"/>
    <w:rsid w:val="00B35ECE"/>
    <w:rsid w:val="00B57097"/>
    <w:rsid w:val="00B87B1E"/>
    <w:rsid w:val="00BB4F05"/>
    <w:rsid w:val="00BC2690"/>
    <w:rsid w:val="00D452ED"/>
    <w:rsid w:val="00E16BF7"/>
    <w:rsid w:val="00E63D9E"/>
    <w:rsid w:val="00E8330C"/>
    <w:rsid w:val="00EA1057"/>
    <w:rsid w:val="00EE1795"/>
    <w:rsid w:val="00F16DBD"/>
    <w:rsid w:val="00F56AB7"/>
    <w:rsid w:val="00FA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0D9E46A-B6C4-4091-9CFC-B7662F2B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097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rsid w:val="00B35EC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5">
    <w:name w:val="!!!Обычный текст~~"/>
    <w:uiPriority w:val="99"/>
    <w:rsid w:val="00B35E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04740E"/>
    <w:rPr>
      <w:rFonts w:ascii="Century Schoolbook" w:eastAsia="Century Schoolbook" w:hAnsi="Century Schoolbook" w:cs="Century Schoolbook"/>
      <w:spacing w:val="10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6"/>
    <w:rsid w:val="0004740E"/>
    <w:pPr>
      <w:widowControl w:val="0"/>
      <w:shd w:val="clear" w:color="auto" w:fill="FFFFFF"/>
      <w:spacing w:before="60" w:after="0" w:line="0" w:lineRule="atLeast"/>
    </w:pPr>
    <w:rPr>
      <w:rFonts w:ascii="Century Schoolbook" w:eastAsia="Century Schoolbook" w:hAnsi="Century Schoolbook" w:cs="Century Schoolbook"/>
      <w:spacing w:val="10"/>
      <w:sz w:val="15"/>
      <w:szCs w:val="15"/>
    </w:rPr>
  </w:style>
  <w:style w:type="character" w:customStyle="1" w:styleId="5">
    <w:name w:val="Заголовок №5_"/>
    <w:basedOn w:val="a0"/>
    <w:link w:val="50"/>
    <w:rsid w:val="0004740E"/>
    <w:rPr>
      <w:rFonts w:ascii="Century Schoolbook" w:eastAsia="Century Schoolbook" w:hAnsi="Century Schoolbook" w:cs="Century Schoolbook"/>
      <w:spacing w:val="10"/>
      <w:shd w:val="clear" w:color="auto" w:fill="FFFFFF"/>
    </w:rPr>
  </w:style>
  <w:style w:type="paragraph" w:customStyle="1" w:styleId="50">
    <w:name w:val="Заголовок №5"/>
    <w:basedOn w:val="a"/>
    <w:link w:val="5"/>
    <w:rsid w:val="0004740E"/>
    <w:pPr>
      <w:widowControl w:val="0"/>
      <w:shd w:val="clear" w:color="auto" w:fill="FFFFFF"/>
      <w:spacing w:after="420" w:line="0" w:lineRule="atLeast"/>
      <w:jc w:val="both"/>
      <w:outlineLvl w:val="4"/>
    </w:pPr>
    <w:rPr>
      <w:rFonts w:ascii="Century Schoolbook" w:eastAsia="Century Schoolbook" w:hAnsi="Century Schoolbook" w:cs="Century Schoolbook"/>
      <w:spacing w:val="10"/>
    </w:rPr>
  </w:style>
  <w:style w:type="character" w:customStyle="1" w:styleId="1">
    <w:name w:val="Основной текст1"/>
    <w:basedOn w:val="a6"/>
    <w:rsid w:val="0004740E"/>
    <w:rPr>
      <w:rFonts w:ascii="Century Schoolbook" w:eastAsia="Century Schoolbook" w:hAnsi="Century Schoolbook" w:cs="Century Schoolbook"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7">
    <w:name w:val="Основной текст + Малые прописные"/>
    <w:basedOn w:val="a6"/>
    <w:rsid w:val="0004740E"/>
    <w:rPr>
      <w:rFonts w:ascii="Century Schoolbook" w:eastAsia="Century Schoolbook" w:hAnsi="Century Schoolbook" w:cs="Century Schoolbook"/>
      <w:smallCap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TimesNewRoman5pt0pt">
    <w:name w:val="Основной текст + Times New Roman;5 pt;Интервал 0 pt"/>
    <w:basedOn w:val="a6"/>
    <w:rsid w:val="0004740E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LucidaSansUnicode45pt0pt">
    <w:name w:val="Основной текст + Lucida Sans Unicode;4;5 pt;Интервал 0 pt"/>
    <w:basedOn w:val="a6"/>
    <w:rsid w:val="000474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LucidaSansUnicode7pt0pt">
    <w:name w:val="Основной текст + Lucida Sans Unicode;7 pt;Полужирный;Интервал 0 pt"/>
    <w:basedOn w:val="a6"/>
    <w:rsid w:val="0004740E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font5">
    <w:name w:val="font5"/>
    <w:basedOn w:val="a"/>
    <w:rsid w:val="000F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0F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F2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0F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0F21E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F21E6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F2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F21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F21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5BDD"/>
  </w:style>
  <w:style w:type="paragraph" w:styleId="aa">
    <w:name w:val="header"/>
    <w:basedOn w:val="a"/>
    <w:link w:val="ab"/>
    <w:uiPriority w:val="99"/>
    <w:unhideWhenUsed/>
    <w:rsid w:val="0075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55BDD"/>
  </w:style>
  <w:style w:type="character" w:customStyle="1" w:styleId="FontStyle19">
    <w:name w:val="Font Style19"/>
    <w:basedOn w:val="a0"/>
    <w:uiPriority w:val="99"/>
    <w:rsid w:val="00094C9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ОСНОВНОЙ ТЕКСТ"/>
    <w:basedOn w:val="a"/>
    <w:next w:val="a"/>
    <w:qFormat/>
    <w:rsid w:val="008D79C2"/>
    <w:pPr>
      <w:tabs>
        <w:tab w:val="left" w:pos="1080"/>
        <w:tab w:val="left" w:pos="1320"/>
      </w:tabs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d">
    <w:name w:val="РИСУНОК"/>
    <w:basedOn w:val="a"/>
    <w:next w:val="a"/>
    <w:qFormat/>
    <w:rsid w:val="008D79C2"/>
    <w:pPr>
      <w:tabs>
        <w:tab w:val="left" w:pos="0"/>
      </w:tabs>
      <w:snapToGrid w:val="0"/>
      <w:spacing w:after="120" w:line="240" w:lineRule="auto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EC4E4-4018-4D87-BF3D-85BB4C03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4169</Words>
  <Characters>23767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Писарь Елена Александровна</dc:creator>
  <cp:keywords/>
  <dc:description/>
  <cp:lastModifiedBy>Писарь Елена Александровна</cp:lastModifiedBy>
  <cp:revision>4</cp:revision>
  <dcterms:created xsi:type="dcterms:W3CDTF">2017-03-28T11:26:00Z</dcterms:created>
  <dcterms:modified xsi:type="dcterms:W3CDTF">2017-03-28T11:33:00Z</dcterms:modified>
</cp:coreProperties>
</file>