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601CF" w:rsidRDefault="006601CF" w:rsidP="008F035A">
      <w:pPr>
        <w:jc w:val="center"/>
        <w:rPr>
          <w:rFonts w:eastAsiaTheme="minorHAnsi"/>
          <w:b/>
          <w:sz w:val="28"/>
          <w:szCs w:val="28"/>
          <w:lang w:eastAsia="en-US"/>
        </w:rPr>
      </w:pPr>
    </w:p>
    <w:p w:rsidR="006909F9" w:rsidRDefault="005945DC" w:rsidP="006909F9">
      <w:pPr>
        <w:jc w:val="center"/>
        <w:rPr>
          <w:rFonts w:eastAsiaTheme="minorHAnsi"/>
          <w:b/>
          <w:bCs/>
          <w:sz w:val="28"/>
          <w:szCs w:val="28"/>
          <w:lang w:eastAsia="en-US"/>
        </w:rPr>
      </w:pPr>
      <w:r>
        <w:rPr>
          <w:rFonts w:eastAsiaTheme="minorHAnsi"/>
          <w:b/>
          <w:bCs/>
          <w:sz w:val="28"/>
          <w:szCs w:val="28"/>
          <w:lang w:eastAsia="en-US"/>
        </w:rPr>
        <w:t>12</w:t>
      </w:r>
      <w:r w:rsidR="006909F9" w:rsidRPr="0088629E">
        <w:rPr>
          <w:rFonts w:eastAsiaTheme="minorHAnsi"/>
          <w:b/>
          <w:bCs/>
          <w:sz w:val="28"/>
          <w:szCs w:val="28"/>
          <w:lang w:eastAsia="en-US"/>
        </w:rPr>
        <w:t>.</w:t>
      </w:r>
      <w:r w:rsidR="00185B47">
        <w:rPr>
          <w:rFonts w:eastAsiaTheme="minorHAnsi"/>
          <w:b/>
          <w:bCs/>
          <w:sz w:val="28"/>
          <w:szCs w:val="28"/>
          <w:lang w:eastAsia="en-US"/>
        </w:rPr>
        <w:t>0</w:t>
      </w:r>
      <w:r w:rsidR="0088238A">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88238A">
        <w:rPr>
          <w:rFonts w:eastAsiaTheme="minorHAnsi"/>
          <w:b/>
          <w:bCs/>
          <w:sz w:val="28"/>
          <w:szCs w:val="28"/>
          <w:lang w:eastAsia="en-US"/>
        </w:rPr>
        <w:t>5</w:t>
      </w:r>
      <w:r>
        <w:rPr>
          <w:rFonts w:eastAsiaTheme="minorHAnsi"/>
          <w:b/>
          <w:bCs/>
          <w:sz w:val="28"/>
          <w:szCs w:val="28"/>
          <w:lang w:eastAsia="en-US"/>
        </w:rPr>
        <w:t>2</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8B0BF1" w:rsidRPr="00EB7C38" w:rsidRDefault="00CD564C" w:rsidP="00CD564C">
      <w:pPr>
        <w:pStyle w:val="a9"/>
        <w:numPr>
          <w:ilvl w:val="0"/>
          <w:numId w:val="33"/>
        </w:numPr>
        <w:spacing w:after="0" w:line="240" w:lineRule="auto"/>
        <w:ind w:left="714" w:hanging="357"/>
        <w:jc w:val="both"/>
        <w:rPr>
          <w:rFonts w:ascii="Times New Roman" w:eastAsiaTheme="minorHAnsi" w:hAnsi="Times New Roman"/>
          <w:sz w:val="28"/>
          <w:szCs w:val="28"/>
        </w:rPr>
      </w:pPr>
      <w:r w:rsidRPr="00EB7C38">
        <w:rPr>
          <w:rFonts w:ascii="Times New Roman" w:hAnsi="Times New Roman"/>
          <w:sz w:val="28"/>
          <w:szCs w:val="26"/>
        </w:rPr>
        <w:t>Об утверждении бизнес-плана АО «Янтарьэнерго» на 2021 год и прогнозных показателей на 2022-2025 годы.</w:t>
      </w:r>
    </w:p>
    <w:p w:rsidR="00CD564C" w:rsidRPr="00EB7C38" w:rsidRDefault="00CD564C" w:rsidP="00CD564C">
      <w:pPr>
        <w:pStyle w:val="a9"/>
        <w:numPr>
          <w:ilvl w:val="0"/>
          <w:numId w:val="33"/>
        </w:numPr>
        <w:spacing w:after="0" w:line="240" w:lineRule="auto"/>
        <w:ind w:left="714" w:hanging="357"/>
        <w:jc w:val="both"/>
        <w:rPr>
          <w:rFonts w:ascii="Times New Roman" w:eastAsiaTheme="minorHAnsi" w:hAnsi="Times New Roman"/>
          <w:sz w:val="28"/>
          <w:szCs w:val="28"/>
        </w:rPr>
      </w:pPr>
      <w:r w:rsidRPr="00EB7C38">
        <w:rPr>
          <w:rFonts w:ascii="Times New Roman" w:eastAsia="Times New Roman" w:hAnsi="Times New Roman"/>
          <w:bCs/>
          <w:sz w:val="28"/>
          <w:szCs w:val="26"/>
          <w:lang w:eastAsia="ru-RU"/>
        </w:rPr>
        <w:t>Об утверждении Политики управления рисками АО «Янтарьэнерго» в новой редакции.</w:t>
      </w:r>
    </w:p>
    <w:p w:rsidR="00853078" w:rsidRPr="00EB7C38" w:rsidRDefault="00853078" w:rsidP="00CD564C">
      <w:pPr>
        <w:pStyle w:val="a9"/>
        <w:numPr>
          <w:ilvl w:val="0"/>
          <w:numId w:val="33"/>
        </w:numPr>
        <w:spacing w:after="0" w:line="240" w:lineRule="auto"/>
        <w:ind w:left="714" w:hanging="357"/>
        <w:jc w:val="both"/>
        <w:rPr>
          <w:rFonts w:ascii="Times New Roman" w:eastAsiaTheme="minorHAnsi" w:hAnsi="Times New Roman"/>
          <w:sz w:val="28"/>
          <w:szCs w:val="28"/>
        </w:rPr>
      </w:pPr>
      <w:r w:rsidRPr="00EB7C38">
        <w:rPr>
          <w:rFonts w:ascii="Times New Roman" w:eastAsia="Times New Roman" w:hAnsi="Times New Roman"/>
          <w:bCs/>
          <w:sz w:val="28"/>
          <w:szCs w:val="26"/>
          <w:lang w:eastAsia="ru-RU"/>
        </w:rPr>
        <w:t>О рассмотрении отчета о ходе реализации инвестиционных проектов АО «Янтарьэнерго», включенных в перечень приоритетных объектов, за 4 квартал 2020 г.</w:t>
      </w:r>
    </w:p>
    <w:p w:rsidR="00EB7C38" w:rsidRPr="00CD564C" w:rsidRDefault="00EB7C38" w:rsidP="00EB7C38">
      <w:pPr>
        <w:pStyle w:val="a9"/>
        <w:spacing w:after="0" w:line="240" w:lineRule="auto"/>
        <w:ind w:left="714"/>
        <w:jc w:val="both"/>
        <w:rPr>
          <w:rFonts w:ascii="Times New Roman" w:eastAsiaTheme="minorHAnsi" w:hAnsi="Times New Roman"/>
          <w:b/>
          <w:sz w:val="28"/>
          <w:szCs w:val="28"/>
        </w:rPr>
      </w:pPr>
    </w:p>
    <w:p w:rsidR="008D19A1" w:rsidRDefault="008E5ECB" w:rsidP="00A06787">
      <w:pPr>
        <w:jc w:val="both"/>
        <w:rPr>
          <w:rFonts w:eastAsiaTheme="minorHAnsi"/>
          <w:b/>
          <w:sz w:val="28"/>
          <w:szCs w:val="28"/>
          <w:lang w:eastAsia="en-US"/>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CD564C" w:rsidRPr="0061094A">
        <w:rPr>
          <w:sz w:val="28"/>
          <w:szCs w:val="26"/>
        </w:rPr>
        <w:t>Об утверждении бизнес-плана АО «Янтарьэнерго» на 2021 год и прогнозных показателей на 2022-2025 годы</w:t>
      </w:r>
      <w:r w:rsidR="00CD564C">
        <w:rPr>
          <w:sz w:val="28"/>
          <w:szCs w:val="26"/>
        </w:rPr>
        <w:t>.</w:t>
      </w:r>
    </w:p>
    <w:p w:rsidR="008D19A1" w:rsidRDefault="008E5ECB" w:rsidP="00A06787">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D564C" w:rsidRPr="006D3346" w:rsidRDefault="00CD564C" w:rsidP="00CD564C">
      <w:pPr>
        <w:ind w:firstLine="709"/>
        <w:contextualSpacing/>
        <w:jc w:val="both"/>
        <w:rPr>
          <w:rFonts w:hint="eastAsia"/>
          <w:sz w:val="28"/>
          <w:szCs w:val="28"/>
        </w:rPr>
      </w:pPr>
      <w:r w:rsidRPr="006D3346">
        <w:rPr>
          <w:sz w:val="28"/>
          <w:szCs w:val="28"/>
        </w:rPr>
        <w:t>1. Утвердить бизнес-план АО «Янтарьэнерго» на 2021 год и принять к сведению прогнозные показатели на период 2022-2</w:t>
      </w:r>
      <w:r>
        <w:rPr>
          <w:sz w:val="28"/>
          <w:szCs w:val="28"/>
        </w:rPr>
        <w:t xml:space="preserve">025 годы согласно </w:t>
      </w:r>
      <w:proofErr w:type="gramStart"/>
      <w:r>
        <w:rPr>
          <w:sz w:val="28"/>
          <w:szCs w:val="28"/>
        </w:rPr>
        <w:t xml:space="preserve">приложению </w:t>
      </w:r>
      <w:r w:rsidRPr="006D3346">
        <w:rPr>
          <w:sz w:val="28"/>
          <w:szCs w:val="28"/>
        </w:rPr>
        <w:t xml:space="preserve"> к</w:t>
      </w:r>
      <w:proofErr w:type="gramEnd"/>
      <w:r w:rsidRPr="006D3346">
        <w:rPr>
          <w:sz w:val="28"/>
          <w:szCs w:val="28"/>
        </w:rPr>
        <w:t xml:space="preserve"> настоящему решению Совета директоров Общества.</w:t>
      </w:r>
    </w:p>
    <w:p w:rsidR="00CD564C" w:rsidRPr="006D3346" w:rsidRDefault="00CD564C" w:rsidP="00CD564C">
      <w:pPr>
        <w:ind w:firstLine="709"/>
        <w:contextualSpacing/>
        <w:jc w:val="both"/>
        <w:rPr>
          <w:rFonts w:hint="eastAsia"/>
          <w:sz w:val="28"/>
          <w:szCs w:val="28"/>
        </w:rPr>
      </w:pPr>
      <w:r w:rsidRPr="006D3346">
        <w:rPr>
          <w:sz w:val="28"/>
          <w:szCs w:val="28"/>
        </w:rPr>
        <w:t xml:space="preserve">2. Поручить Единоличному исполнительному органу: </w:t>
      </w:r>
    </w:p>
    <w:p w:rsidR="00CD564C" w:rsidRPr="006D3346" w:rsidRDefault="00CD564C" w:rsidP="00CD564C">
      <w:pPr>
        <w:ind w:firstLine="709"/>
        <w:contextualSpacing/>
        <w:jc w:val="both"/>
        <w:rPr>
          <w:rFonts w:hint="eastAsia"/>
          <w:sz w:val="28"/>
          <w:szCs w:val="28"/>
        </w:rPr>
      </w:pPr>
      <w:r w:rsidRPr="006D3346">
        <w:rPr>
          <w:sz w:val="28"/>
          <w:szCs w:val="28"/>
        </w:rPr>
        <w:t xml:space="preserve">2.1. Обеспечить взаимодействие со Службой по государственному регулированию цен и тарифов Калининградской области в части учета всех экономически обоснованных расходов в тарифах на передачу электрической энергии на 2022-2023 годы, а также обоснования целевого использования </w:t>
      </w:r>
      <w:r w:rsidRPr="006D3346">
        <w:rPr>
          <w:sz w:val="28"/>
          <w:szCs w:val="28"/>
        </w:rPr>
        <w:lastRenderedPageBreak/>
        <w:t>объема амортизации, не направляемого на финансирование инвестиционной программы, в целях недопущения отрицательной корректировки необходимой валовой выручки (далее – НВВ) в будущих периодах.</w:t>
      </w:r>
    </w:p>
    <w:p w:rsidR="00CD564C" w:rsidRPr="006D3346" w:rsidRDefault="00CD564C" w:rsidP="00CD564C">
      <w:pPr>
        <w:ind w:firstLine="709"/>
        <w:contextualSpacing/>
        <w:jc w:val="both"/>
        <w:rPr>
          <w:rFonts w:hint="eastAsia"/>
          <w:sz w:val="28"/>
          <w:szCs w:val="28"/>
        </w:rPr>
      </w:pPr>
      <w:r w:rsidRPr="006D3346">
        <w:rPr>
          <w:sz w:val="28"/>
          <w:szCs w:val="28"/>
        </w:rPr>
        <w:t>2.2. По итогам деятельности Общества за 1 полугодие 2021 г</w:t>
      </w:r>
      <w:r>
        <w:rPr>
          <w:sz w:val="28"/>
          <w:szCs w:val="28"/>
        </w:rPr>
        <w:t>.</w:t>
      </w:r>
      <w:r w:rsidRPr="006D3346">
        <w:rPr>
          <w:sz w:val="28"/>
          <w:szCs w:val="28"/>
        </w:rPr>
        <w:t xml:space="preserve"> проработать возможность направления денежных средств на дополнительное финансирование инвестиционной программы без ухудшения финансово-экономических показателей.</w:t>
      </w:r>
    </w:p>
    <w:p w:rsidR="00CD564C" w:rsidRPr="006D3346" w:rsidRDefault="00CD564C" w:rsidP="00CD564C">
      <w:pPr>
        <w:ind w:firstLine="709"/>
        <w:contextualSpacing/>
        <w:jc w:val="both"/>
        <w:rPr>
          <w:rFonts w:hint="eastAsia"/>
          <w:sz w:val="28"/>
          <w:szCs w:val="28"/>
        </w:rPr>
      </w:pPr>
      <w:r w:rsidRPr="006D3346">
        <w:rPr>
          <w:sz w:val="28"/>
          <w:szCs w:val="28"/>
        </w:rPr>
        <w:t>2.3. Обеспечить повышение операционной эффективности Общества в 2021 году, в том числе за счет оптимизации операционных расходов, а также увеличения выручки по нерегулируемым видам деятельности.</w:t>
      </w:r>
    </w:p>
    <w:p w:rsidR="00CD564C" w:rsidRDefault="00CD564C" w:rsidP="00CD564C">
      <w:pPr>
        <w:ind w:firstLine="709"/>
        <w:contextualSpacing/>
        <w:jc w:val="both"/>
        <w:rPr>
          <w:rFonts w:hint="eastAsia"/>
          <w:sz w:val="28"/>
          <w:szCs w:val="28"/>
        </w:rPr>
      </w:pPr>
      <w:r w:rsidRPr="006D3346">
        <w:rPr>
          <w:sz w:val="28"/>
          <w:szCs w:val="28"/>
        </w:rPr>
        <w:t>2.4.</w:t>
      </w:r>
      <w:r w:rsidRPr="006D3346">
        <w:rPr>
          <w:sz w:val="28"/>
          <w:szCs w:val="28"/>
        </w:rPr>
        <w:tab/>
        <w:t>Обеспечить выполнение утвержденной инвестиционной программы Общества в 2021 году в целях исключения риска отрицательной корректировки НВВ по итогам исполнения утвержденной инвестиционной программы.</w:t>
      </w:r>
      <w:r>
        <w:rPr>
          <w:sz w:val="28"/>
          <w:szCs w:val="28"/>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8D19A1" w:rsidRDefault="008D19A1" w:rsidP="00A06787">
      <w:pPr>
        <w:jc w:val="both"/>
        <w:rPr>
          <w:rFonts w:ascii="Times New Roman" w:eastAsiaTheme="minorHAnsi" w:hAnsi="Times New Roman"/>
          <w:b/>
          <w:sz w:val="28"/>
          <w:szCs w:val="28"/>
        </w:rPr>
      </w:pPr>
    </w:p>
    <w:p w:rsidR="00A06787" w:rsidRPr="00707F33" w:rsidRDefault="0088238A" w:rsidP="00A06787">
      <w:pPr>
        <w:jc w:val="both"/>
        <w:rPr>
          <w:rFonts w:hint="eastAsia"/>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853078" w:rsidRPr="00051C94">
        <w:rPr>
          <w:bCs/>
          <w:sz w:val="28"/>
          <w:szCs w:val="26"/>
        </w:rPr>
        <w:t xml:space="preserve">Об утверждении Политики управления рисками </w:t>
      </w:r>
      <w:r w:rsidR="00853078">
        <w:rPr>
          <w:bCs/>
          <w:sz w:val="28"/>
          <w:szCs w:val="26"/>
        </w:rPr>
        <w:t xml:space="preserve">                             </w:t>
      </w:r>
      <w:r w:rsidR="00853078" w:rsidRPr="00051C94">
        <w:rPr>
          <w:bCs/>
          <w:sz w:val="28"/>
          <w:szCs w:val="26"/>
        </w:rPr>
        <w:t>АО «Янтарьэнерго» в новой редакции.</w:t>
      </w:r>
    </w:p>
    <w:p w:rsidR="005945DC" w:rsidRDefault="0088238A" w:rsidP="0088238A">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53078" w:rsidRPr="00051C94" w:rsidRDefault="00853078" w:rsidP="00853078">
      <w:pPr>
        <w:pStyle w:val="21"/>
        <w:spacing w:after="0" w:line="240" w:lineRule="auto"/>
        <w:ind w:left="0" w:firstLine="709"/>
        <w:jc w:val="both"/>
        <w:rPr>
          <w:rFonts w:hint="eastAsia"/>
          <w:sz w:val="28"/>
          <w:szCs w:val="26"/>
        </w:rPr>
      </w:pPr>
      <w:r w:rsidRPr="00051C94">
        <w:rPr>
          <w:sz w:val="28"/>
          <w:szCs w:val="26"/>
        </w:rPr>
        <w:t>1. Утвердить Политику управления рисками АО «Янтарьэнерго» в новой ред</w:t>
      </w:r>
      <w:r>
        <w:rPr>
          <w:sz w:val="28"/>
          <w:szCs w:val="26"/>
        </w:rPr>
        <w:t xml:space="preserve">акции согласно </w:t>
      </w:r>
      <w:proofErr w:type="gramStart"/>
      <w:r>
        <w:rPr>
          <w:sz w:val="28"/>
          <w:szCs w:val="26"/>
        </w:rPr>
        <w:t>приложению</w:t>
      </w:r>
      <w:proofErr w:type="gramEnd"/>
      <w:r>
        <w:rPr>
          <w:sz w:val="28"/>
          <w:szCs w:val="26"/>
        </w:rPr>
        <w:t xml:space="preserve"> </w:t>
      </w:r>
      <w:r w:rsidRPr="00051C94">
        <w:rPr>
          <w:sz w:val="28"/>
          <w:szCs w:val="26"/>
        </w:rPr>
        <w:t>к настоящему решению.</w:t>
      </w:r>
    </w:p>
    <w:p w:rsidR="00853078" w:rsidRPr="00EB7C38" w:rsidRDefault="00853078" w:rsidP="00EB7C38">
      <w:pPr>
        <w:tabs>
          <w:tab w:val="left" w:pos="1134"/>
        </w:tabs>
        <w:ind w:firstLine="709"/>
        <w:jc w:val="both"/>
        <w:rPr>
          <w:rFonts w:hint="eastAsia"/>
          <w:sz w:val="28"/>
          <w:szCs w:val="26"/>
        </w:rPr>
      </w:pPr>
      <w:r w:rsidRPr="00051C94">
        <w:rPr>
          <w:sz w:val="28"/>
          <w:szCs w:val="26"/>
        </w:rPr>
        <w:t xml:space="preserve">2. Признать утратившим силу решение Совета директоров </w:t>
      </w:r>
      <w:r>
        <w:rPr>
          <w:sz w:val="28"/>
          <w:szCs w:val="26"/>
        </w:rPr>
        <w:br/>
      </w:r>
      <w:r w:rsidRPr="00051C94">
        <w:rPr>
          <w:sz w:val="28"/>
          <w:szCs w:val="26"/>
        </w:rPr>
        <w:t>АО «Янтарьэнерго» по пункту 1 вопроса 3 «Об утверждении Политики управления рисками АО «Янтарьэнерго» в новой редакции» (протокол заседания Совета директ</w:t>
      </w:r>
      <w:r>
        <w:rPr>
          <w:sz w:val="28"/>
          <w:szCs w:val="26"/>
        </w:rPr>
        <w:t xml:space="preserve">оров АО «Янтарьэнерго» от 22 марта </w:t>
      </w:r>
      <w:r w:rsidRPr="00051C94">
        <w:rPr>
          <w:sz w:val="28"/>
          <w:szCs w:val="26"/>
        </w:rPr>
        <w:t>2016</w:t>
      </w:r>
      <w:r>
        <w:rPr>
          <w:sz w:val="28"/>
          <w:szCs w:val="26"/>
        </w:rPr>
        <w:t xml:space="preserve"> г.</w:t>
      </w:r>
      <w:r w:rsidRPr="00051C94">
        <w:rPr>
          <w:sz w:val="28"/>
          <w:szCs w:val="26"/>
        </w:rPr>
        <w:t xml:space="preserve"> № 21) с даты принятия настоящего решения.</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8D19A1" w:rsidRDefault="008D19A1" w:rsidP="00A06787">
      <w:pPr>
        <w:jc w:val="both"/>
        <w:rPr>
          <w:rFonts w:ascii="Times New Roman" w:eastAsiaTheme="minorHAnsi" w:hAnsi="Times New Roman"/>
          <w:b/>
          <w:sz w:val="28"/>
          <w:szCs w:val="28"/>
        </w:rPr>
      </w:pPr>
    </w:p>
    <w:p w:rsidR="005945DC" w:rsidRDefault="0088238A" w:rsidP="00A06787">
      <w:pPr>
        <w:jc w:val="both"/>
        <w:rPr>
          <w:rFonts w:hint="eastAsia"/>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853078" w:rsidRPr="002E3F5B">
        <w:rPr>
          <w:bCs/>
          <w:sz w:val="28"/>
          <w:szCs w:val="26"/>
        </w:rPr>
        <w:t xml:space="preserve">О рассмотрении отчета о ходе реализации инвестиционных проектов АО «Янтарьэнерго», включенных в перечень приоритетных </w:t>
      </w:r>
      <w:r w:rsidR="00853078">
        <w:rPr>
          <w:bCs/>
          <w:sz w:val="28"/>
          <w:szCs w:val="26"/>
        </w:rPr>
        <w:t>объектов, за 4 квартал 2020 г</w:t>
      </w:r>
      <w:r w:rsidR="00853078" w:rsidRPr="002E3F5B">
        <w:rPr>
          <w:bCs/>
          <w:sz w:val="28"/>
          <w:szCs w:val="26"/>
        </w:rPr>
        <w:t>.</w:t>
      </w:r>
    </w:p>
    <w:p w:rsidR="00853078" w:rsidRDefault="0088238A" w:rsidP="00853078">
      <w:pPr>
        <w:jc w:val="both"/>
        <w:rPr>
          <w:rFonts w:hint="eastAsia"/>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853078" w:rsidRPr="00816805">
        <w:rPr>
          <w:sz w:val="28"/>
          <w:szCs w:val="28"/>
        </w:rPr>
        <w:t xml:space="preserve">Принять к сведению отчет о ходе реализации инвестиционных проектов АО «Янтарьэнерго», включенных в перечень приоритетных </w:t>
      </w:r>
      <w:r w:rsidR="00853078">
        <w:rPr>
          <w:sz w:val="28"/>
          <w:szCs w:val="28"/>
        </w:rPr>
        <w:t>объектов, за 4 квартал 2020 г.</w:t>
      </w:r>
      <w:r w:rsidR="00853078" w:rsidRPr="00816805">
        <w:rPr>
          <w:sz w:val="28"/>
          <w:szCs w:val="28"/>
        </w:rPr>
        <w:t xml:space="preserve"> согласно </w:t>
      </w:r>
      <w:proofErr w:type="gramStart"/>
      <w:r w:rsidR="00853078" w:rsidRPr="00816805">
        <w:rPr>
          <w:sz w:val="28"/>
          <w:szCs w:val="28"/>
        </w:rPr>
        <w:t>приложению</w:t>
      </w:r>
      <w:proofErr w:type="gramEnd"/>
      <w:r w:rsidR="00853078" w:rsidRPr="00816805">
        <w:rPr>
          <w:sz w:val="28"/>
          <w:szCs w:val="28"/>
        </w:rPr>
        <w:t xml:space="preserve"> к настоящему решению Совета директоров Общества.</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7B58EA" w:rsidP="00E12A74">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7B58EA" w:rsidP="00E12A74">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A06787" w:rsidRDefault="0088238A" w:rsidP="00A06787">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CD564C" w:rsidRPr="006D3346" w:rsidRDefault="00CD564C" w:rsidP="00CD564C">
      <w:pPr>
        <w:ind w:firstLine="709"/>
        <w:contextualSpacing/>
        <w:jc w:val="both"/>
        <w:rPr>
          <w:rFonts w:hint="eastAsia"/>
          <w:sz w:val="28"/>
          <w:szCs w:val="28"/>
        </w:rPr>
      </w:pPr>
      <w:r w:rsidRPr="006D3346">
        <w:rPr>
          <w:sz w:val="28"/>
          <w:szCs w:val="28"/>
        </w:rPr>
        <w:t>1. Утвердить бизнес-план АО «Янтарьэнерго» на 2021 год и принять к сведению прогнозные показатели на период 2022-2</w:t>
      </w:r>
      <w:r>
        <w:rPr>
          <w:sz w:val="28"/>
          <w:szCs w:val="28"/>
        </w:rPr>
        <w:t xml:space="preserve">025 годы согласно </w:t>
      </w:r>
      <w:proofErr w:type="gramStart"/>
      <w:r>
        <w:rPr>
          <w:sz w:val="28"/>
          <w:szCs w:val="28"/>
        </w:rPr>
        <w:t xml:space="preserve">приложению </w:t>
      </w:r>
      <w:r w:rsidRPr="006D3346">
        <w:rPr>
          <w:sz w:val="28"/>
          <w:szCs w:val="28"/>
        </w:rPr>
        <w:t xml:space="preserve"> к</w:t>
      </w:r>
      <w:proofErr w:type="gramEnd"/>
      <w:r w:rsidRPr="006D3346">
        <w:rPr>
          <w:sz w:val="28"/>
          <w:szCs w:val="28"/>
        </w:rPr>
        <w:t xml:space="preserve"> настоящему решению Совета директоров Общества.</w:t>
      </w:r>
    </w:p>
    <w:p w:rsidR="00CD564C" w:rsidRPr="006D3346" w:rsidRDefault="00CD564C" w:rsidP="00CD564C">
      <w:pPr>
        <w:ind w:firstLine="709"/>
        <w:contextualSpacing/>
        <w:jc w:val="both"/>
        <w:rPr>
          <w:rFonts w:hint="eastAsia"/>
          <w:sz w:val="28"/>
          <w:szCs w:val="28"/>
        </w:rPr>
      </w:pPr>
      <w:r w:rsidRPr="006D3346">
        <w:rPr>
          <w:sz w:val="28"/>
          <w:szCs w:val="28"/>
        </w:rPr>
        <w:t xml:space="preserve">2. Поручить Единоличному исполнительному органу: </w:t>
      </w:r>
    </w:p>
    <w:p w:rsidR="00CD564C" w:rsidRPr="006D3346" w:rsidRDefault="00CD564C" w:rsidP="00CD564C">
      <w:pPr>
        <w:ind w:firstLine="709"/>
        <w:contextualSpacing/>
        <w:jc w:val="both"/>
        <w:rPr>
          <w:rFonts w:hint="eastAsia"/>
          <w:sz w:val="28"/>
          <w:szCs w:val="28"/>
        </w:rPr>
      </w:pPr>
      <w:r w:rsidRPr="006D3346">
        <w:rPr>
          <w:sz w:val="28"/>
          <w:szCs w:val="28"/>
        </w:rPr>
        <w:t>2.1. Обеспечить взаимодействие со Службой по государственному регулированию цен и тарифов Калининградской области в части учета всех экономически обоснованных расходов в тарифах на передачу электрической энергии на 2022-2023 годы, а также обоснования целевого использования объема амортизации, не направляемого на финансирование инвестиционной программы, в целях недопущения отрицательной корректировки необходимой валовой выручки (далее – НВВ) в будущих периодах.</w:t>
      </w:r>
    </w:p>
    <w:p w:rsidR="00CD564C" w:rsidRPr="006D3346" w:rsidRDefault="00CD564C" w:rsidP="00CD564C">
      <w:pPr>
        <w:ind w:firstLine="709"/>
        <w:contextualSpacing/>
        <w:jc w:val="both"/>
        <w:rPr>
          <w:rFonts w:hint="eastAsia"/>
          <w:sz w:val="28"/>
          <w:szCs w:val="28"/>
        </w:rPr>
      </w:pPr>
      <w:r w:rsidRPr="006D3346">
        <w:rPr>
          <w:sz w:val="28"/>
          <w:szCs w:val="28"/>
        </w:rPr>
        <w:t>2.2. По итогам деятельности Общества за 1 полугодие 2021 г</w:t>
      </w:r>
      <w:r>
        <w:rPr>
          <w:sz w:val="28"/>
          <w:szCs w:val="28"/>
        </w:rPr>
        <w:t>.</w:t>
      </w:r>
      <w:r w:rsidRPr="006D3346">
        <w:rPr>
          <w:sz w:val="28"/>
          <w:szCs w:val="28"/>
        </w:rPr>
        <w:t xml:space="preserve"> проработать возможность направления денежных средств на дополнительное финансирование инвестиционной программы без ухудшения финансово-экономических показателей.</w:t>
      </w:r>
    </w:p>
    <w:p w:rsidR="00CD564C" w:rsidRPr="006D3346" w:rsidRDefault="00CD564C" w:rsidP="00CD564C">
      <w:pPr>
        <w:ind w:firstLine="709"/>
        <w:contextualSpacing/>
        <w:jc w:val="both"/>
        <w:rPr>
          <w:rFonts w:hint="eastAsia"/>
          <w:sz w:val="28"/>
          <w:szCs w:val="28"/>
        </w:rPr>
      </w:pPr>
      <w:r w:rsidRPr="006D3346">
        <w:rPr>
          <w:sz w:val="28"/>
          <w:szCs w:val="28"/>
        </w:rPr>
        <w:t>2.3. Обеспечить повышение операционной эффективности Общества в 2021 году, в том числе за счет оптимизации операционных расходов, а также увеличения выручки по нерегулируемым видам деятельности.</w:t>
      </w:r>
    </w:p>
    <w:p w:rsidR="00CD564C" w:rsidRDefault="00CD564C" w:rsidP="00CD564C">
      <w:pPr>
        <w:ind w:firstLine="709"/>
        <w:contextualSpacing/>
        <w:jc w:val="both"/>
        <w:rPr>
          <w:rFonts w:hint="eastAsia"/>
          <w:sz w:val="28"/>
          <w:szCs w:val="28"/>
        </w:rPr>
      </w:pPr>
      <w:r w:rsidRPr="006D3346">
        <w:rPr>
          <w:sz w:val="28"/>
          <w:szCs w:val="28"/>
        </w:rPr>
        <w:t>2.4.</w:t>
      </w:r>
      <w:r w:rsidRPr="006D3346">
        <w:rPr>
          <w:sz w:val="28"/>
          <w:szCs w:val="28"/>
        </w:rPr>
        <w:tab/>
        <w:t>Обеспечить выполнение утвержденной инвестиционной программы Общества в 2021 году в целях исключения риска отрицательной корректировки НВВ по итогам исполнения утвержденной инвестиционной программы.</w:t>
      </w:r>
      <w:r>
        <w:rPr>
          <w:sz w:val="28"/>
          <w:szCs w:val="28"/>
        </w:rPr>
        <w:t>».</w:t>
      </w:r>
    </w:p>
    <w:p w:rsidR="00EA5B29" w:rsidRDefault="00EA5B29" w:rsidP="00B45A66">
      <w:pPr>
        <w:jc w:val="both"/>
        <w:rPr>
          <w:rFonts w:hint="eastAsia"/>
          <w:b/>
          <w:sz w:val="28"/>
          <w:szCs w:val="28"/>
        </w:rPr>
      </w:pPr>
    </w:p>
    <w:p w:rsidR="0088238A" w:rsidRDefault="0088238A" w:rsidP="0088238A">
      <w:pPr>
        <w:jc w:val="both"/>
        <w:rPr>
          <w:rFonts w:hint="eastAsia"/>
          <w:b/>
          <w:sz w:val="28"/>
          <w:szCs w:val="28"/>
        </w:rPr>
      </w:pPr>
      <w:r>
        <w:rPr>
          <w:rFonts w:ascii="Times New Roman" w:eastAsia="Calibri" w:hAnsi="Times New Roman" w:cs="Times New Roman"/>
          <w:b/>
          <w:bCs/>
          <w:color w:val="000000"/>
          <w:kern w:val="0"/>
          <w:sz w:val="28"/>
          <w:szCs w:val="28"/>
          <w:lang w:eastAsia="ru-RU" w:bidi="ar-SA"/>
        </w:rPr>
        <w:lastRenderedPageBreak/>
        <w:t>По вопросу № 2 повестки дня:</w:t>
      </w:r>
      <w:r w:rsidRPr="00D542D0">
        <w:rPr>
          <w:rFonts w:eastAsia="Courier New"/>
          <w:sz w:val="28"/>
          <w:szCs w:val="28"/>
        </w:rPr>
        <w:t xml:space="preserve"> </w:t>
      </w:r>
    </w:p>
    <w:p w:rsidR="00853078" w:rsidRPr="00051C94" w:rsidRDefault="00853078" w:rsidP="00853078">
      <w:pPr>
        <w:pStyle w:val="21"/>
        <w:spacing w:after="0" w:line="240" w:lineRule="auto"/>
        <w:ind w:left="0" w:firstLine="709"/>
        <w:jc w:val="both"/>
        <w:rPr>
          <w:rFonts w:hint="eastAsia"/>
          <w:sz w:val="28"/>
          <w:szCs w:val="26"/>
        </w:rPr>
      </w:pPr>
      <w:r w:rsidRPr="00051C94">
        <w:rPr>
          <w:sz w:val="28"/>
          <w:szCs w:val="26"/>
        </w:rPr>
        <w:t>1. Утвердить Политику управления рисками АО «Янтарьэнерго» в новой ред</w:t>
      </w:r>
      <w:r>
        <w:rPr>
          <w:sz w:val="28"/>
          <w:szCs w:val="26"/>
        </w:rPr>
        <w:t xml:space="preserve">акции согласно </w:t>
      </w:r>
      <w:proofErr w:type="gramStart"/>
      <w:r>
        <w:rPr>
          <w:sz w:val="28"/>
          <w:szCs w:val="26"/>
        </w:rPr>
        <w:t>приложению</w:t>
      </w:r>
      <w:proofErr w:type="gramEnd"/>
      <w:r>
        <w:rPr>
          <w:sz w:val="28"/>
          <w:szCs w:val="26"/>
        </w:rPr>
        <w:t xml:space="preserve"> </w:t>
      </w:r>
      <w:r w:rsidRPr="00051C94">
        <w:rPr>
          <w:sz w:val="28"/>
          <w:szCs w:val="26"/>
        </w:rPr>
        <w:t>к настоящему решению.</w:t>
      </w:r>
    </w:p>
    <w:p w:rsidR="00853078" w:rsidRDefault="00853078" w:rsidP="00F93EFF">
      <w:pPr>
        <w:tabs>
          <w:tab w:val="left" w:pos="1134"/>
        </w:tabs>
        <w:ind w:firstLine="709"/>
        <w:jc w:val="both"/>
        <w:rPr>
          <w:rFonts w:hint="eastAsia"/>
          <w:b/>
          <w:sz w:val="28"/>
          <w:szCs w:val="28"/>
        </w:rPr>
      </w:pPr>
      <w:r w:rsidRPr="00051C94">
        <w:rPr>
          <w:sz w:val="28"/>
          <w:szCs w:val="26"/>
        </w:rPr>
        <w:t xml:space="preserve">2. Признать утратившим силу решение Совета директоров </w:t>
      </w:r>
      <w:r>
        <w:rPr>
          <w:sz w:val="28"/>
          <w:szCs w:val="26"/>
        </w:rPr>
        <w:br/>
      </w:r>
      <w:r w:rsidRPr="00051C94">
        <w:rPr>
          <w:sz w:val="28"/>
          <w:szCs w:val="26"/>
        </w:rPr>
        <w:t>АО «Янтарьэнерго» по пункту 1 вопроса 3 «Об утверждении Политики управления рисками АО «Янтарьэнерго» в новой редакции» (протокол заседания Совета директ</w:t>
      </w:r>
      <w:r>
        <w:rPr>
          <w:sz w:val="28"/>
          <w:szCs w:val="26"/>
        </w:rPr>
        <w:t xml:space="preserve">оров АО «Янтарьэнерго» от 22 марта </w:t>
      </w:r>
      <w:r w:rsidRPr="00051C94">
        <w:rPr>
          <w:sz w:val="28"/>
          <w:szCs w:val="26"/>
        </w:rPr>
        <w:t>2016</w:t>
      </w:r>
      <w:r>
        <w:rPr>
          <w:sz w:val="28"/>
          <w:szCs w:val="26"/>
        </w:rPr>
        <w:t xml:space="preserve"> г.</w:t>
      </w:r>
      <w:r w:rsidRPr="00051C94">
        <w:rPr>
          <w:sz w:val="28"/>
          <w:szCs w:val="26"/>
        </w:rPr>
        <w:t xml:space="preserve"> № 21) с даты принятия настоящего решения.</w:t>
      </w:r>
    </w:p>
    <w:p w:rsidR="008D19A1" w:rsidRDefault="008D19A1" w:rsidP="00A06787">
      <w:pPr>
        <w:jc w:val="both"/>
        <w:rPr>
          <w:rFonts w:ascii="Times New Roman" w:eastAsia="Calibri" w:hAnsi="Times New Roman" w:cs="Times New Roman"/>
          <w:b/>
          <w:bCs/>
          <w:color w:val="000000"/>
          <w:kern w:val="0"/>
          <w:sz w:val="28"/>
          <w:szCs w:val="28"/>
          <w:lang w:eastAsia="ru-RU" w:bidi="ar-SA"/>
        </w:rPr>
      </w:pPr>
    </w:p>
    <w:p w:rsidR="00853078" w:rsidRDefault="0088238A" w:rsidP="00853078">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r w:rsidR="00853078" w:rsidRPr="00816805">
        <w:rPr>
          <w:sz w:val="28"/>
          <w:szCs w:val="28"/>
        </w:rPr>
        <w:t xml:space="preserve">Принять к сведению отчет о ходе реализации инвестиционных проектов АО «Янтарьэнерго», включенных в перечень приоритетных </w:t>
      </w:r>
      <w:r w:rsidR="00853078">
        <w:rPr>
          <w:sz w:val="28"/>
          <w:szCs w:val="28"/>
        </w:rPr>
        <w:t>объектов, за 4 квартал 2020 г.</w:t>
      </w:r>
      <w:r w:rsidR="00853078" w:rsidRPr="00816805">
        <w:rPr>
          <w:sz w:val="28"/>
          <w:szCs w:val="28"/>
        </w:rPr>
        <w:t xml:space="preserve"> согласно </w:t>
      </w:r>
      <w:proofErr w:type="gramStart"/>
      <w:r w:rsidR="00853078" w:rsidRPr="00816805">
        <w:rPr>
          <w:sz w:val="28"/>
          <w:szCs w:val="28"/>
        </w:rPr>
        <w:t>приложению</w:t>
      </w:r>
      <w:proofErr w:type="gramEnd"/>
      <w:r w:rsidR="00853078" w:rsidRPr="00816805">
        <w:rPr>
          <w:sz w:val="28"/>
          <w:szCs w:val="28"/>
        </w:rPr>
        <w:t xml:space="preserve"> к настоящему решению Совета директоров Общества.</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5945DC">
        <w:rPr>
          <w:rFonts w:eastAsiaTheme="minorHAnsi"/>
          <w:bCs/>
          <w:color w:val="000000"/>
          <w:sz w:val="28"/>
          <w:szCs w:val="28"/>
          <w:lang w:eastAsia="en-US"/>
        </w:rPr>
        <w:t>12</w:t>
      </w:r>
      <w:r w:rsidR="00F578FE">
        <w:rPr>
          <w:rFonts w:eastAsiaTheme="minorHAnsi"/>
          <w:bCs/>
          <w:color w:val="000000"/>
          <w:sz w:val="28"/>
          <w:szCs w:val="28"/>
          <w:lang w:eastAsia="en-US"/>
        </w:rPr>
        <w:t xml:space="preserve"> </w:t>
      </w:r>
      <w:r w:rsidR="0088238A">
        <w:rPr>
          <w:rFonts w:eastAsiaTheme="minorHAnsi"/>
          <w:bCs/>
          <w:color w:val="000000"/>
          <w:sz w:val="28"/>
          <w:szCs w:val="28"/>
          <w:lang w:eastAsia="en-US"/>
        </w:rPr>
        <w:t>марта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EB7C38" w:rsidRDefault="00EB7C38"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86" w:rsidRDefault="00633886" w:rsidP="00DC7A02">
      <w:pPr>
        <w:rPr>
          <w:rFonts w:hint="eastAsia"/>
        </w:rPr>
      </w:pPr>
      <w:r>
        <w:separator/>
      </w:r>
    </w:p>
  </w:endnote>
  <w:endnote w:type="continuationSeparator" w:id="0">
    <w:p w:rsidR="00633886" w:rsidRDefault="00633886"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86" w:rsidRDefault="00633886" w:rsidP="00DC7A02">
      <w:pPr>
        <w:rPr>
          <w:rFonts w:hint="eastAsia"/>
        </w:rPr>
      </w:pPr>
      <w:r>
        <w:separator/>
      </w:r>
    </w:p>
  </w:footnote>
  <w:footnote w:type="continuationSeparator" w:id="0">
    <w:p w:rsidR="00633886" w:rsidRDefault="00633886"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4"/>
  </w:num>
  <w:num w:numId="4">
    <w:abstractNumId w:val="14"/>
  </w:num>
  <w:num w:numId="5">
    <w:abstractNumId w:val="6"/>
  </w:num>
  <w:num w:numId="6">
    <w:abstractNumId w:val="13"/>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0"/>
  </w:num>
  <w:num w:numId="13">
    <w:abstractNumId w:val="2"/>
  </w:num>
  <w:num w:numId="14">
    <w:abstractNumId w:val="26"/>
  </w:num>
  <w:num w:numId="15">
    <w:abstractNumId w:val="0"/>
  </w:num>
  <w:num w:numId="16">
    <w:abstractNumId w:val="22"/>
  </w:num>
  <w:num w:numId="17">
    <w:abstractNumId w:val="8"/>
  </w:num>
  <w:num w:numId="18">
    <w:abstractNumId w:val="23"/>
  </w:num>
  <w:num w:numId="19">
    <w:abstractNumId w:val="30"/>
  </w:num>
  <w:num w:numId="20">
    <w:abstractNumId w:val="21"/>
  </w:num>
  <w:num w:numId="21">
    <w:abstractNumId w:val="19"/>
  </w:num>
  <w:num w:numId="22">
    <w:abstractNumId w:val="15"/>
  </w:num>
  <w:num w:numId="23">
    <w:abstractNumId w:val="1"/>
  </w:num>
  <w:num w:numId="24">
    <w:abstractNumId w:val="10"/>
  </w:num>
  <w:num w:numId="25">
    <w:abstractNumId w:val="11"/>
  </w:num>
  <w:num w:numId="26">
    <w:abstractNumId w:val="29"/>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num>
  <w:num w:numId="31">
    <w:abstractNumId w:val="31"/>
  </w:num>
  <w:num w:numId="32">
    <w:abstractNumId w:val="25"/>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A6002"/>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40026"/>
    <w:rsid w:val="00641A9A"/>
    <w:rsid w:val="00645BDA"/>
    <w:rsid w:val="006537C5"/>
    <w:rsid w:val="006601CF"/>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5FAC"/>
    <w:rsid w:val="00757904"/>
    <w:rsid w:val="00774AD9"/>
    <w:rsid w:val="00775AD9"/>
    <w:rsid w:val="007879C6"/>
    <w:rsid w:val="00792800"/>
    <w:rsid w:val="007B561B"/>
    <w:rsid w:val="007B58EA"/>
    <w:rsid w:val="007B7381"/>
    <w:rsid w:val="007D037E"/>
    <w:rsid w:val="007D0452"/>
    <w:rsid w:val="007D775A"/>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A4053"/>
    <w:rsid w:val="009A5552"/>
    <w:rsid w:val="009A7B35"/>
    <w:rsid w:val="009B2C2B"/>
    <w:rsid w:val="009B3883"/>
    <w:rsid w:val="009C1B3E"/>
    <w:rsid w:val="009E1CC2"/>
    <w:rsid w:val="009E29DB"/>
    <w:rsid w:val="009F0584"/>
    <w:rsid w:val="009F4565"/>
    <w:rsid w:val="00A06787"/>
    <w:rsid w:val="00A24AE8"/>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E27"/>
    <w:rsid w:val="00B80F2B"/>
    <w:rsid w:val="00B81F83"/>
    <w:rsid w:val="00BA665A"/>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6D09"/>
    <w:rsid w:val="00D0742B"/>
    <w:rsid w:val="00D123E1"/>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F0A3-80F5-496E-8428-C669C754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12</cp:revision>
  <cp:lastPrinted>2021-02-26T07:57:00Z</cp:lastPrinted>
  <dcterms:created xsi:type="dcterms:W3CDTF">2021-02-26T08:01:00Z</dcterms:created>
  <dcterms:modified xsi:type="dcterms:W3CDTF">2021-03-12T12:31:00Z</dcterms:modified>
  <dc:language>ru-RU</dc:language>
</cp:coreProperties>
</file>