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0"/>
      </w:pPr>
      <w:r/>
      <w:r/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условиях осуществления регулируемых видов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Янтарь»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Калининград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jc w:val="both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tabs>
          <w:tab w:val="left" w:pos="567" w:leader="none"/>
          <w:tab w:val="left" w:pos="6379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102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Предмет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настоящим соглашением организация принимает на себя обязательства осуществлять регулируемую деятельность по оказанию услуг по передаче электрической энергии и достичь плановых значений показателей надежности и качества услуг по передаче электриче</w:t>
      </w:r>
      <w:r>
        <w:rPr>
          <w:rFonts w:ascii="Times New Roman" w:hAnsi="Times New Roman" w:cs="Times New Roman"/>
          <w:sz w:val="28"/>
          <w:szCs w:val="28"/>
        </w:rPr>
        <w:t xml:space="preserve">ской энергии, уровня потерь электрической энергии при ее передаче по электрическим сетям, осуществить реализацию инвестиционной программы организации в соответствии с решениями об утверждении инвестиционной программы организации и (или) изменений, которые </w:t>
      </w:r>
      <w:r>
        <w:rPr>
          <w:rFonts w:ascii="Times New Roman" w:hAnsi="Times New Roman" w:cs="Times New Roman"/>
          <w:sz w:val="28"/>
          <w:szCs w:val="28"/>
        </w:rPr>
        <w:t xml:space="preserve">вносятся в инвестиционную программу организации, принятыми в порядке, установленном 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 об электроэнергетике, обеспечить своевременное исполнение договоров льготного технологического присоединения и соблюдать иные условия, предусмотренные настоящим соглашением, а регулирующий орган обязуется устанавливать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порядке, предусмотренном подпунктом «в» пункта 3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numPr>
          <w:ilvl w:val="0"/>
          <w:numId w:val="8"/>
        </w:numPr>
        <w:ind w:lef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(котловые) тарифы на услуги по передаче электрической энергии, поставляемой потребителям, не относящимся к населению и приравненным к нему категориям потребителей;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6"/>
        <w:numPr>
          <w:ilvl w:val="0"/>
          <w:numId w:val="8"/>
        </w:numPr>
        <w:ind w:lef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(котловые) тарифы на услуги по передаче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 поставляемой населению и приравненным к нему категориям потребителей с дифференциацией по объемам потребления электрической энергии (мощности);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6"/>
        <w:numPr>
          <w:ilvl w:val="0"/>
          <w:numId w:val="8"/>
        </w:numPr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необходимой валовой выручки (далее – НВВ) (без учета расходов на оплату потерь электрической энергии).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II. Обязательства сторон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0" w:name="P276"/>
      <w:r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К обязательствам организации в соответствии с настоящим соглашением относятся: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достижение плановых значений показателей надежности оказываемых услуг по передаче электрической энергии согласно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приложению 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достижение плановых значений показателей качества оказываемых услуг по передаче электрической энергии согласно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приложению 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достижение уровня потерь электрической энергии при ее передаче по электрическим сетям согласно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приложению 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 (без учета объектов эл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ектросетевого хозяйства, ранее используемых иной территориальной сетевой организацией, права собственности или иные предусмотренные законом права, на которые перешли к организации по состоянию на дату вступления в силу Постановления 1581 от 29.11.2024г.).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Величина потерь электрической энергии в объектах электросетевого хозяйства, права собственности или иные предусмотренные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законом права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которые перешли к организации в течение срока действия настоящего соглашения, определяется в соответствии с пунктом 40(1) Основ ценообразования;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реализация инвестиционной программы организации (согласно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приложению 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соглашению) в соотв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етствии с решениями об утверждении инвестиционной программы организации и (или) изменений, которые вносятся в инвестиционную программу организации, принятыми в порядке, установленном законодательством Российской Федерации об электроэнергетике, в том числе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реализация инвестиционных мероприятий, связанных с технологическим присоединением льготных категорий заявителей по договорам, заключенным и неисполненным по состоянию на 01.01.2025, указанных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приложении 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соглашению, и предусмотренных в составе инвестиционной программы за счет средств, учитываемых при установлении цен (тарифов) на услуги по передаче электрической энергии по регулируемым ценам (тарифам).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2(1). Оценка исполнения обязательств организации производится следующим образом: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в части достижения плановых значений показателей надежности оказываемых услуг по передаче электрической энергии – в соответствии с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приложением 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в части достижения плановых значений показателей качества оказываемых услуг по передаче электрической энергии – в соответствии с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приложением 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в части достижения уровня потерь электрической энергии при ее передаче по электрическим сетям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без учета объектов электросетевого хозяйства, ранее используемых иной территориальной сетевой организацией, права собственности или иные предусмотренные законом права на которые перешли к организации в течение срока действия настоящего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– в соответст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вии с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приложением 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части исполнения инвестиционной программы организации – в соответствии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К обязательствам регулирующего органа в соответствии с настоящим соглашением относятся: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расчет необходимой валовой выручки организации в соответст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вии с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 ФСТ России от 17.02.2012 № 98-э (далее – МУ 98-э</w:t>
      </w:r>
      <w:r>
        <w:rPr>
          <w:rFonts w:ascii="Times New Roman" w:hAnsi="Times New Roman"/>
          <w:sz w:val="28"/>
          <w:highlight w:val="white"/>
        </w:rPr>
        <w:t xml:space="preserve">), за исключением показателей, иной расчет которых предусматривается настоящим соглашением с соблюдением: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025"/>
        <w:numPr>
          <w:ilvl w:val="0"/>
          <w:numId w:val="15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параметров регулирования, указанных в пункте 2 настоящего соглашения;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5"/>
        <w:numPr>
          <w:ilvl w:val="0"/>
          <w:numId w:val="15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размера необходимой валовой выручки организации, указанной в </w:t>
      </w:r>
      <w:r>
        <w:rPr>
          <w:rFonts w:ascii="Times New Roman" w:hAnsi="Times New Roman"/>
          <w:b/>
          <w:sz w:val="28"/>
          <w:highlight w:val="white"/>
        </w:rPr>
        <w:t xml:space="preserve">приложении 2</w:t>
      </w:r>
      <w:r>
        <w:rPr>
          <w:rFonts w:ascii="Times New Roman" w:hAnsi="Times New Roman"/>
          <w:sz w:val="28"/>
          <w:highlight w:val="white"/>
        </w:rPr>
        <w:t xml:space="preserve"> к настоящему соглашению;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5"/>
        <w:numPr>
          <w:ilvl w:val="0"/>
          <w:numId w:val="15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порядка использования амортизационных отчислений на финансирование мероприятий инвестиционной программы и расходов, предусмотренных пунктом 32(4) Основ ценообразования;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025"/>
        <w:numPr>
          <w:ilvl w:val="0"/>
          <w:numId w:val="15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порядка учета в тарифах на услуги по передаче электрической энергии выпадающих доходов организации, связанных с технологическим присоединением </w:t>
      </w:r>
      <w:r>
        <w:rPr>
          <w:rFonts w:ascii="Times New Roman" w:hAnsi="Times New Roman"/>
          <w:sz w:val="28"/>
          <w:highlight w:val="white"/>
        </w:rPr>
        <w:t xml:space="preserve">льготных категорий заявителей;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025"/>
        <w:numPr>
          <w:ilvl w:val="0"/>
          <w:numId w:val="15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определения уровня потерь электрической энергии и величины потерь электрической энергии;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5"/>
        <w:numPr>
          <w:ilvl w:val="0"/>
          <w:numId w:val="15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иных параметров регулирования на 2026-2030 годы, используемых ранее в качестве долгосрочных.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учет сохранения в распоряжении организации средств в размере экономии расходов на оплату потерь электрической энергии,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достигнутой организацией при осуществлении деятельности по оказанию услуг по передаче электрической энергии в результате проведения мероприятий по сокращению объема используемых энергетических ресурсов, и экономии операционных (подконтрольных) расходов, в </w:t>
      </w:r>
      <w:r>
        <w:rPr>
          <w:rFonts w:ascii="Times New Roman" w:hAnsi="Times New Roman" w:cs="Times New Roman"/>
          <w:sz w:val="28"/>
          <w:szCs w:val="28"/>
        </w:rPr>
        <w:t xml:space="preserve">порядке, определенном настоящем Соглашением;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установление уровня подконтрольных расходов организации на 2026 год и далее на срок действия настоящего Соглашения в соответствии с МУ 98-э;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 случае утверждения изменений в акты Правительства Российской Федерации и (или) иные нормативно-правовые акты, устанавливающие порядок определения операционных (подконтрольных)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расходов территориальных сетевых организаций с применением эталонов затрат, в отношении организации применяются указанные нормативные правовые акты. В этом случае подконтрольные расходы организации определяются с применением эталонов затрат поэтапно и в ср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оки, предусмотренные данными нормативными правовыми актами для территориальных сетевых организаций, в отношении которых такие эталоны применяются. Расчет подконтрольных расходов в необходимой валовой выручке организации в порядке, определенном подпунктом а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настоящего соглашения, в этом случае не осуществляется;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компе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нсация за счет средств бюджета Калининградской области недополученных доходов организации в случае установления цен (тарифов) на услуги по передаче электрической энергии по электрическим сетям, принадлежащим на праве </w:t>
      </w:r>
      <w:r>
        <w:rPr>
          <w:rFonts w:ascii="Times New Roman" w:hAnsi="Times New Roman"/>
          <w:sz w:val="28"/>
          <w:highlight w:val="white"/>
        </w:rPr>
        <w:t xml:space="preserve">собственности или ином законном основании территориальным сетевым организациям, ниже экономически обоснованного уровня, рассчитанного в соответствии с предусмотренным настоящим соглашением порядком индексации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этих цен (тарифов);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определение путем их индексации в соответствии с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приложением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соглашению единых (котловых) тарифов на услуги по передаче электрической энергии, поставляемой потребителям, не относящимся к населению и приравненным к нему категориям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, а также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диных (котловых) тарифов на услуги по передаче электрической энергии, поставляемой населению и приравненным к нему категориям потребителей;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учет в течение срока действия настоящего соглашения результатов деятельности организации до перехода к государственному регулированию цен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(тарифов) на услуги по передаче электрической энергии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на основе настоящего соглашения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порядке, определенном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приложением 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настоящему соглашению;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учет в течение срока действия настоящего соглашения результатов деятельности организации, полученных в течение срока действия настоящего соглашения, в порядке, определенном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приложением 7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настоящему соглашению;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учет по истечении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срока действия настоящего соглашения результатов деятельности организации, полученных в течение срока действия настоящего соглашения, с распределением учитываемых результатов деятельности по годам в пределах сроков, установленных для возврата сглаживания;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учет условий настоящего соглашения при направлении в федеральный орган исполнительной власти в области регулирования тарифов предложени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об установлении предельных (минимальных и (или) максимальных) уровней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з) иные обязательства, предусмотренные настоящим соглашением.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 Регулирующий орган вправе профинансировать за счет средств бюджета Калининградской области отдельные расходы, предусмотренные </w:t>
      </w:r>
      <w:hyperlink r:id="rId11" w:tooltip="Постановление Правительства РФ от 29.12.2011 N 1178 (ред. от 23.12.2024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пунктами 18</w:t>
        </w:r>
      </w:hyperlink>
      <w:r>
        <w:rPr>
          <w:rFonts w:ascii="Times New Roman" w:hAnsi="Times New Roman"/>
          <w:sz w:val="28"/>
          <w:highlight w:val="white"/>
        </w:rPr>
        <w:t xml:space="preserve"> и </w:t>
      </w:r>
      <w:hyperlink r:id="rId12" w:tooltip="Постановление Правительства РФ от 29.12.2011 N 1178 (ред. от 23.12.2024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19</w:t>
        </w:r>
      </w:hyperlink>
      <w:r>
        <w:rPr>
          <w:rFonts w:ascii="Times New Roman" w:hAnsi="Times New Roman"/>
          <w:sz w:val="28"/>
          <w:highlight w:val="white"/>
        </w:rPr>
        <w:t xml:space="preserve"> Основ ценообразования.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указанном случае расходы организации на реализацию таких мероприятий не подлежат включению в НВВ очередного периода регулирования, а показатели НВВ организации согласно приложению 2 к настоящему соглашению могут корректироваться.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III. Ответственность сторон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5.1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учае расторжения настоящего соглашения ввиду ненадлежащего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организацией обязательств по настоящему соглашению Служба проводит оценку и корректировку необходимой валовой выручки организации в соответствии с требованиями Основ ценообразования и МУ 98-э.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При допущении организацией в году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-2 нарушения условий настоящего Соглашения в части использования тарифных источников, учтенных в необходимой валовой выручке на льготное технологическое присоединение, в объеме не менее запланированного согласно строке 1.2.1 таблицы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приложении 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Соглашению, обязательства Службы по плановому объему прибыли на капитальные вложения, учитываемой при установлении тарифов на услуги по передаче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 на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целях технологического присоединения льготных категорий заявителей, согласно строке 1.2.1 таблицы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приложении 8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Соглашению уменьшаются на 3% от объема неиспользованных источников за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-2. При этом обязательства организации по целевому освоению тарифных источников, учтенных в необходимой валовой выручке на льготное технологическое присоединение на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-2, подлежат исполнению в полном объеме.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Стороны не несут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тветственность за неисполнение или ненадлежащее исполнение обязательств по настоящему соглашению, если докажут, что надлежащее исполнение обязательств оказалось невозможным вследствие наступления обстоятельств непреодолимой силы или по вине другой стороны.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IV. Иные условия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Регулирующий орган в течение срока действия настоящего соглашения, а также в течение двух лет по завершении сро</w:t>
      </w:r>
      <w:r>
        <w:rPr>
          <w:rFonts w:ascii="Times New Roman" w:hAnsi="Times New Roman" w:cs="Times New Roman"/>
          <w:sz w:val="28"/>
          <w:szCs w:val="28"/>
        </w:rPr>
        <w:t xml:space="preserve">ка действия настоящего соглашения в рамках корректировки необходимой валовой выручки организации по фактическим данным учитывает величину выпадающих доходов, связанных с технологическим присоединением льготных категорий заявителей, в порядке, определенном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приложением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Организация в рамках срока действия настоящего соглашения: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целях обеспечения доступа потребителей к информации о деятельности субъектов электроэнергетики ежегодно публикует в срок до 1 мая на своем официальном сайте информацию 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факте исполнении организацией условий соглашения за истекший год;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плановых инвестиционных мероприятиях, учтенных за истекший год в утвержденной в установленном законодательством порядке инвестиционной программы организации, а также о факте их реализации;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направлении предложений в составе тарифной заявки на предстоящий год регулирования в части расходов на льготное технологическое присоединение;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достижении показателей качества и надежности оказываемых услуг по передаче электрической энергии за истекший год;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аварийных отключениях, произошедших за истекший год, с указанием территории, на которых происходили отключения, и фактических сроков устранения аварий.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реализует достижение сро</w:t>
      </w:r>
      <w:r>
        <w:rPr>
          <w:rFonts w:ascii="Times New Roman" w:hAnsi="Times New Roman" w:cs="Times New Roman"/>
          <w:sz w:val="28"/>
          <w:szCs w:val="28"/>
        </w:rPr>
        <w:t xml:space="preserve">ков технологического присоединения к электрическим сетям, порядка ценообразования в сфере электроэнергетики, предусмотренного действующим законодательством, обеспечение своевременного и достоверного представления Службе информации в целях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тарифов, соблюдение требований по раздельному учету расходов по регулируемым видам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целях достижения баланса экономических интересов реализует приоритетное выполнение мероприятий по технологическому присоединению льготной категории лиц хозяйственным способом (силами самой организации), с минимизацией привлечения подрядчиков;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целях реализации положений статьи 46.4 Федерального закона 35-ФЗ о функциониро</w:t>
      </w:r>
      <w:r>
        <w:rPr>
          <w:rFonts w:ascii="Times New Roman" w:hAnsi="Times New Roman" w:cs="Times New Roman"/>
          <w:sz w:val="28"/>
          <w:szCs w:val="28"/>
        </w:rPr>
        <w:t xml:space="preserve">вании системообразующей территориальной сетевой организации обеспечивает заключение договоров / соглашений в срок до 31.12.2026 о порядке использования объектов электросетевого хозяйства в соответствии с Постановлением Правительства РФ от 10.09.2024 № 1239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 утверждении Правил заключения, исполнения, изменения, расторжения договора о порядке ликвидации на основании решений штаба по обеспечению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оединения энергопринимающих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хозяйства), а также штабом по обеспечению безопасности электроснабжения, Правил передачи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";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реализует возможность выполнения работ по выносу объектов электросетевого хозяйства силами заказчика.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P40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9. Настоящее соглашение заключено на 5 лет и вступает в силу в соответствии с пунктом 21 Правил заключения соглашений.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Изменение настоящего соглашения осуществляется в соответствии с пунктом 22 Правил заключения соглашений.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2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Расторжение настоящего соглашения осуществляется в соответствии с </w:t>
      </w:r>
      <w:hyperlink w:tooltip="33. Неисполнение территориальной сетевой организацией обязательств, предусмотренных соглашением, в течение 2 лет подряд является основанием расторжения соглашения по инициативе исполнительного органа субъекта Российской Федерации в области государственного рег" w:anchor="P143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tooltip="42. Соглашение считается расторгнутым со дня принятия решения, предусмотренного пунктом 40 или 41 настоящих Правил." w:anchor="P154" w:history="1">
        <w:r>
          <w:rPr>
            <w:rFonts w:ascii="Times New Roman" w:hAnsi="Times New Roman" w:cs="Times New Roman"/>
            <w:sz w:val="28"/>
            <w:szCs w:val="28"/>
          </w:rPr>
          <w:t xml:space="preserve">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заключения соглашений.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реорганизации организации права и обязанности по настоящему соглашению не подлежат передаче юридическому лицу, являющемуся ее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Настоящее соглашение составлено в 2 экземплярах, по одному для каждой из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V. Приложения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5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1. Порядок установления тарифов на услуги по передаче электрической энергии (мощности) для потребителей.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2. Минимальный размер необходимой валовой выручки (без учета расходов на оплату потерь электрической энергии).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3. Плановые значения показателей надежности оказываемых услуг по передаче электрической энергии и порядок оценки их исполнения.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4. Плановые значения показателей качества оказываемых услуг по передаче электрической энергии и порядок оценки их исполнения.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5. Уровень потерь электрической энергии при ее передаче по электрическим сетям.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6. Порядок учета в течение срока действия настоящего соглашения результатов деятельности организации до перехода к государственному регулированию цен (тарифов) на услуги по передаче электрической энергии на основе настоящего Соглашения.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7. Порядок учета в течение срока действия настоящего соглашения результатов деятельности организации, полученных в течение срока действия настоящего Соглашения.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8. Источники реализации инвестиционной программы организации за счет средств, учитываемых при установлении цен (тарифов) на услуги по передаче электрической энергии по регулируемым ценам (тарифам).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9. </w:t>
      </w:r>
      <w:r>
        <w:rPr>
          <w:rFonts w:ascii="Times New Roman" w:hAnsi="Times New Roman" w:cs="Times New Roman"/>
          <w:sz w:val="28"/>
          <w:szCs w:val="28"/>
        </w:rPr>
        <w:t xml:space="preserve">Порядок учета в тарифах на услуги по передаче электрической энергии мероприятий, связанных с технологическим присоединением льготных категорий заявителей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 10. </w:t>
      </w:r>
      <w:r>
        <w:rPr>
          <w:rFonts w:ascii="Times New Roman" w:hAnsi="Times New Roman" w:cs="Times New Roman"/>
          <w:sz w:val="28"/>
          <w:szCs w:val="28"/>
        </w:rPr>
        <w:t xml:space="preserve">Перечень договоров по технологическому присоединению льготных категорий заявителей, заключенных и не исполненных по состоянию на 01.09.2025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120" w:type="dxa"/>
        <w:tblInd w:w="14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47"/>
        <w:gridCol w:w="2046"/>
        <w:gridCol w:w="40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4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7" w:type="dxa"/>
            <w:textDirection w:val="lrTb"/>
            <w:noWrap w:val="false"/>
          </w:tcPr>
          <w:p>
            <w:r/>
            <w:r/>
          </w:p>
        </w:tc>
      </w:tr>
    </w:tbl>
    <w:p>
      <w:pPr>
        <w:shd w:val="nil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23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5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установления тарифов на услуги по передаче электрической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энергии (мощности) для потребителей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Единые (котловые) тарифы на услуги по передаче электрической энергии, поставляемой потребителям,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относящимся к населению и приравненным к нему категориям потребителей, устанавливаются с учетом параметров роста, рассчитанных от соответствующих значений ставок тарифов, действующих во втором полугодии предшествующего года, на уровне следующих значений: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Ставки индексации по уровням напряжения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pPr w:horzAnchor="margin" w:tblpX="108" w:vertAnchor="text" w:tblpY="204" w:leftFromText="180" w:topFromText="0" w:rightFromText="180" w:bottomFromText="0"/>
        <w:tblW w:w="10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370"/>
        <w:gridCol w:w="2551"/>
        <w:gridCol w:w="2409"/>
      </w:tblGrid>
      <w:tr>
        <w:tblPrEx/>
        <w:trPr>
          <w:trHeight w:val="203"/>
        </w:trPr>
        <w:tc>
          <w:tcPr>
            <w:tcW w:w="2699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7330" w:type="dxa"/>
            <w:vAlign w:val="bottom"/>
            <w:textDirection w:val="lrTb"/>
            <w:noWrap w:val="false"/>
          </w:tcPr>
          <w:p>
            <w:pPr>
              <w:ind w:hanging="14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Уровень напряжения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3"/>
        </w:trPr>
        <w:tc>
          <w:tcPr>
            <w:tcW w:w="2699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hanging="14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СН2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66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56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на содержание электрических сетей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МВт.мес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</w:tr>
      <w:tr>
        <w:tblPrEx/>
        <w:trPr>
          <w:trHeight w:val="573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за потери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</w:tr>
      <w:tr>
        <w:tblPrEx/>
        <w:trPr>
          <w:trHeight w:val="576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тариф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/>
          </w:p>
        </w:tc>
      </w:tr>
      <w:tr>
        <w:tblPrEx/>
        <w:trPr>
          <w:trHeight w:val="450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12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на содержание электрических сетей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МВт.мес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654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за потери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720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тариф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10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на содержание электрических сетей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МВт.мес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за потери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557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тариф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+1,00%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384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57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на содержание электрических сетей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МВт.мес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639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за потери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557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тариф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57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на содержание электрических сетей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МВт.мес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</w:tr>
      <w:tr>
        <w:tblPrEx/>
        <w:trPr>
          <w:trHeight w:val="648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Ставка за потери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</w:tr>
      <w:tr>
        <w:tblPrEx/>
        <w:trPr>
          <w:trHeight w:val="557"/>
        </w:trPr>
        <w:tc>
          <w:tcPr>
            <w:tcW w:w="2699" w:type="dxa"/>
            <w:textDirection w:val="lrTb"/>
            <w:noWrap w:val="false"/>
          </w:tcPr>
          <w:p>
            <w:pPr>
              <w:ind w:right="5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тариф (руб./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кВт.ч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/>
          </w:p>
        </w:tc>
      </w:tr>
    </w:tbl>
    <w:p>
      <w:pPr>
        <w:pStyle w:val="1035"/>
        <w:ind w:firstLine="709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</w:r>
      <w:r>
        <w:rPr>
          <w:i/>
          <w:color w:val="auto"/>
          <w:sz w:val="28"/>
          <w:szCs w:val="28"/>
        </w:rPr>
      </w:r>
      <w:r>
        <w:rPr>
          <w:i/>
          <w:color w:val="auto"/>
          <w:sz w:val="28"/>
          <w:szCs w:val="28"/>
        </w:rPr>
      </w:r>
    </w:p>
    <w:p>
      <w:pPr>
        <w:pStyle w:val="103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СЭП</w:t>
      </w:r>
      <w:r>
        <w:rPr>
          <w:color w:val="auto"/>
          <w:sz w:val="28"/>
          <w:szCs w:val="28"/>
          <w:vertAlign w:val="subscript"/>
          <w:lang w:val="en-US"/>
        </w:rPr>
        <w:t xml:space="preserve">N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-  рост</w:t>
      </w:r>
      <w:r>
        <w:rPr>
          <w:color w:val="auto"/>
          <w:sz w:val="28"/>
          <w:szCs w:val="28"/>
        </w:rPr>
        <w:t xml:space="preserve"> регулируемых тарифов сетевых организаций в году </w:t>
      </w:r>
      <w:r>
        <w:rPr>
          <w:color w:val="auto"/>
          <w:sz w:val="28"/>
          <w:szCs w:val="28"/>
          <w:lang w:val="en-US"/>
        </w:rPr>
        <w:t xml:space="preserve">N</w:t>
      </w:r>
      <w:r>
        <w:rPr>
          <w:color w:val="auto"/>
          <w:sz w:val="28"/>
          <w:szCs w:val="28"/>
        </w:rPr>
        <w:t xml:space="preserve"> для категории «прочие» в среднем по стране согласно разделу «Цены и тарифы в электроэнергетике</w:t>
      </w:r>
      <w:r>
        <w:rPr>
          <w:color w:val="auto"/>
          <w:sz w:val="28"/>
          <w:szCs w:val="28"/>
        </w:rPr>
        <w:t xml:space="preserve">» Прогноза социально-экономического развития Российской Федерации, публикуемого Минэкономразвития России. Применению при установлении тарифов на очередной период регулирования, подлежат показатели Прогноза, действующего на момент утверждения (цен) тарифов.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35"/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СЭП</w:t>
      </w:r>
      <w:r>
        <w:rPr>
          <w:rFonts w:eastAsia="Times New Roman"/>
          <w:color w:val="000000" w:themeColor="text1"/>
          <w:sz w:val="28"/>
          <w:szCs w:val="28"/>
          <w:vertAlign w:val="subscript"/>
          <w:lang w:val="en-US"/>
        </w:rPr>
        <w:t xml:space="preserve">N</w:t>
      </w:r>
      <w:r>
        <w:rPr>
          <w:rFonts w:eastAsia="Times New Roman"/>
          <w:color w:val="000000" w:themeColor="text1"/>
          <w:sz w:val="28"/>
          <w:szCs w:val="28"/>
        </w:rPr>
        <w:t xml:space="preserve"> + ____% - </w:t>
      </w:r>
      <w:r>
        <w:rPr>
          <w:rFonts w:eastAsia="Times New Roman"/>
          <w:color w:val="auto"/>
          <w:sz w:val="28"/>
          <w:szCs w:val="28"/>
        </w:rPr>
        <w:t xml:space="preserve">рост </w:t>
      </w:r>
      <w:r>
        <w:rPr>
          <w:color w:val="auto"/>
          <w:sz w:val="28"/>
          <w:szCs w:val="28"/>
        </w:rPr>
        <w:t xml:space="preserve">единых (котловых) тарифов на услуги по передаче электрической энергии, поставляемой потребителям, не относящимся к населению и приравненным к нему категориям потребителей,</w:t>
      </w:r>
      <w:r>
        <w:rPr>
          <w:rFonts w:eastAsia="Times New Roman"/>
          <w:color w:val="auto"/>
          <w:sz w:val="28"/>
          <w:szCs w:val="28"/>
        </w:rPr>
        <w:t xml:space="preserve"> на соответствующем уровне напряжения во 2 полугодии года </w:t>
      </w:r>
      <w:r>
        <w:rPr>
          <w:rFonts w:eastAsia="Times New Roman"/>
          <w:color w:val="auto"/>
          <w:sz w:val="28"/>
          <w:szCs w:val="28"/>
          <w:lang w:val="en-US"/>
        </w:rPr>
        <w:t xml:space="preserve">N</w:t>
      </w:r>
      <w:r>
        <w:rPr>
          <w:rFonts w:eastAsia="Times New Roman"/>
          <w:color w:val="auto"/>
          <w:sz w:val="28"/>
          <w:szCs w:val="28"/>
        </w:rPr>
        <w:t xml:space="preserve"> по отношению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к соответствующим тарифам, действующим по во 2 полугодии года </w:t>
      </w:r>
      <w:r>
        <w:rPr>
          <w:rFonts w:eastAsia="Times New Roman"/>
          <w:color w:val="000000" w:themeColor="text1"/>
          <w:sz w:val="28"/>
          <w:szCs w:val="28"/>
          <w:highlight w:val="white"/>
          <w:lang w:val="en-US"/>
        </w:rPr>
        <w:t xml:space="preserve">N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-1.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1031"/>
        <w:ind w:left="0" w:firstLine="709"/>
        <w:jc w:val="both"/>
        <w:spacing w:before="200" w:line="22" w:lineRule="atLeast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31"/>
        <w:ind w:left="0" w:firstLine="709"/>
        <w:jc w:val="both"/>
        <w:spacing w:before="200" w:line="22" w:lineRule="atLeast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Единые (котловы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 тарифы на услуги по передаче электрической энергии, поставляемой потребителям, не относящимся к населению и приравненным к нему категориям потребителей, а также единые (котловые) тарифы на услуги по передаче электрической энергии, поставляемой населению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приравненным к нему категориям, рассчитанные исходя из параметров, указанных в приложении 5 к настоящему соглашению, должны обеспечивать получение организацией выручки от услуг по передаче электрической энергии, уменьшенной на величину необходимой валов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выручки прочих территориальных сетевых организаций региона и стоимости потерь в электрических сетях территориальных сетевых организациях, равной необходимой валовой выручке организации на содержание сетей, определенной на очередной период регулирования.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31"/>
        <w:ind w:left="0" w:firstLine="709"/>
        <w:jc w:val="both"/>
        <w:spacing w:before="200" w:line="22" w:lineRule="atLeast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31"/>
        <w:ind w:left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1031"/>
        <w:ind w:left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Ставки индексации по уровням напряжения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единых (котловых) тарифов на услуги по передаче электрической энергии, поставляемой населению и приравненным к нему категориям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pPr w:horzAnchor="margin" w:tblpX="108" w:vertAnchor="text" w:tblpY="204" w:leftFromText="180" w:topFromText="0" w:rightFromText="180" w:bottomFromText="0"/>
        <w:tblW w:w="10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370"/>
        <w:gridCol w:w="2551"/>
        <w:gridCol w:w="2409"/>
      </w:tblGrid>
      <w:tr>
        <w:tblPrEx/>
        <w:trPr>
          <w:trHeight w:val="203"/>
        </w:trPr>
        <w:tc>
          <w:tcPr>
            <w:tcW w:w="2699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gridSpan w:val="3"/>
            <w:tcW w:w="7330" w:type="dxa"/>
            <w:vAlign w:val="bottom"/>
            <w:textDirection w:val="lrTb"/>
            <w:noWrap w:val="false"/>
          </w:tcPr>
          <w:p>
            <w:pPr>
              <w:ind w:hanging="14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Уровень напряжения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3"/>
        </w:trPr>
        <w:tc>
          <w:tcPr>
            <w:tcW w:w="2699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370" w:type="dxa"/>
            <w:vAlign w:val="bottom"/>
            <w:textDirection w:val="lrTb"/>
            <w:noWrap w:val="false"/>
          </w:tcPr>
          <w:p>
            <w:pPr>
              <w:ind w:hanging="14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Диапазон 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Диапазон 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Диапазон 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66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W w:w="2699" w:type="dxa"/>
            <w:vAlign w:val="center"/>
            <w:textDirection w:val="lrTb"/>
            <w:noWrap w:val="false"/>
          </w:tcPr>
          <w:p>
            <w:pPr>
              <w:ind w:right="57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Все тарифные группы населения и приравненных к нему категорий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+3,00%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</w:p>
        </w:tc>
      </w:tr>
      <w:tr>
        <w:tblPrEx/>
        <w:trPr>
          <w:trHeight w:val="366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W w:w="2699" w:type="dxa"/>
            <w:vAlign w:val="center"/>
            <w:textDirection w:val="lrTb"/>
            <w:noWrap w:val="false"/>
          </w:tcPr>
          <w:p>
            <w:pPr>
              <w:ind w:right="57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Все тарифные группы населения и приравненных к нему категорий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+3,00%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</w:tr>
      <w:tr>
        <w:tblPrEx/>
        <w:trPr>
          <w:trHeight w:val="366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W w:w="2699" w:type="dxa"/>
            <w:vAlign w:val="center"/>
            <w:textDirection w:val="lrTb"/>
            <w:noWrap w:val="false"/>
          </w:tcPr>
          <w:p>
            <w:pPr>
              <w:ind w:right="57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Все тарифные группы населения и приравненных к нему категорий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+3,00%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</w:tr>
      <w:tr>
        <w:tblPrEx/>
        <w:trPr>
          <w:trHeight w:val="366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2029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W w:w="2699" w:type="dxa"/>
            <w:vAlign w:val="center"/>
            <w:textDirection w:val="lrTb"/>
            <w:noWrap w:val="false"/>
          </w:tcPr>
          <w:p>
            <w:pPr>
              <w:ind w:right="57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Все тарифные группы населения и приравненных к нему категорий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+2,00%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</w:p>
        </w:tc>
      </w:tr>
      <w:tr>
        <w:tblPrEx/>
        <w:trPr>
          <w:trHeight w:val="366"/>
        </w:trPr>
        <w:tc>
          <w:tcPr>
            <w:gridSpan w:val="4"/>
            <w:tcW w:w="10029" w:type="dxa"/>
            <w:textDirection w:val="lrTb"/>
            <w:noWrap w:val="false"/>
          </w:tcPr>
          <w:p>
            <w:pPr>
              <w:ind w:firstLine="709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2030 г. (2 полугодие)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W w:w="2699" w:type="dxa"/>
            <w:vAlign w:val="center"/>
            <w:textDirection w:val="lrTb"/>
            <w:noWrap w:val="false"/>
          </w:tcPr>
          <w:p>
            <w:pPr>
              <w:ind w:right="57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Все тарифные группы населения и приравненных к нему категорий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370" w:type="dxa"/>
            <w:vAlign w:val="center"/>
            <w:textDirection w:val="lrTb"/>
            <w:noWrap w:val="false"/>
          </w:tcPr>
          <w:p>
            <w:pPr>
              <w:ind w:left="-142" w:right="-100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СЭП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+2,00%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Р(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  <w:vertAlign w:val="subscript"/>
              </w:rPr>
            </w:r>
          </w:p>
          <w:p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bscript"/>
              </w:rPr>
            </w:r>
          </w:p>
        </w:tc>
      </w:tr>
    </w:tbl>
    <w:p>
      <w:pPr>
        <w:pStyle w:val="1035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3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СЭП</w:t>
      </w:r>
      <w:r>
        <w:rPr>
          <w:color w:val="auto"/>
          <w:sz w:val="28"/>
          <w:szCs w:val="28"/>
          <w:highlight w:val="white"/>
          <w:vertAlign w:val="subscript"/>
          <w:lang w:val="en-US"/>
        </w:rPr>
        <w:t xml:space="preserve">N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-  рост</w:t>
      </w:r>
      <w:r>
        <w:rPr>
          <w:color w:val="auto"/>
          <w:sz w:val="28"/>
          <w:szCs w:val="28"/>
          <w:highlight w:val="white"/>
        </w:rPr>
        <w:t xml:space="preserve"> регулируемых тарифов сетевых организаций в году </w:t>
      </w:r>
      <w:r>
        <w:rPr>
          <w:color w:val="auto"/>
          <w:sz w:val="28"/>
          <w:szCs w:val="28"/>
          <w:highlight w:val="white"/>
          <w:lang w:val="en-US"/>
        </w:rPr>
        <w:t xml:space="preserve">N</w:t>
      </w:r>
      <w:r>
        <w:rPr>
          <w:color w:val="auto"/>
          <w:sz w:val="28"/>
          <w:szCs w:val="28"/>
          <w:highlight w:val="white"/>
        </w:rPr>
        <w:t xml:space="preserve"> для категории «население» в среднем по стране согласно разделу «Цены и тарифы в электроэнергетике» Прогноза социально-экономического развития Российской Федерации, публикуемого Минэкономразвития России. Применению при </w:t>
      </w:r>
      <w:r>
        <w:rPr>
          <w:color w:val="auto"/>
          <w:sz w:val="28"/>
          <w:szCs w:val="28"/>
        </w:rPr>
        <w:t xml:space="preserve">установлении тарифов на очередной период регулирования, подлежат показатели Прогноза, действующего на момент утверждения (цен) тарифов.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35"/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СЭП</w:t>
      </w:r>
      <w:r>
        <w:rPr>
          <w:rFonts w:eastAsia="Times New Roman"/>
          <w:color w:val="000000" w:themeColor="text1"/>
          <w:sz w:val="28"/>
          <w:szCs w:val="28"/>
          <w:highlight w:val="white"/>
          <w:vertAlign w:val="subscript"/>
          <w:lang w:val="en-US"/>
        </w:rPr>
        <w:t xml:space="preserve">N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+ ____% -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рост </w:t>
      </w:r>
      <w:r>
        <w:rPr>
          <w:color w:val="auto"/>
          <w:sz w:val="28"/>
          <w:szCs w:val="28"/>
          <w:highlight w:val="white"/>
        </w:rPr>
        <w:t xml:space="preserve">единых (котловых) тарифов на услуги по передаче электрической энергии, поставляемой потребителям, относящимся к населению и приравненным к нему категориям потребителей,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 на соответствующем уровне напряжения во 2 полугодии года </w:t>
      </w:r>
      <w:r>
        <w:rPr>
          <w:rFonts w:eastAsia="Times New Roman"/>
          <w:color w:val="auto"/>
          <w:sz w:val="28"/>
          <w:szCs w:val="28"/>
          <w:highlight w:val="white"/>
          <w:lang w:val="en-US"/>
        </w:rPr>
        <w:t xml:space="preserve">N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 по отношению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к соответствующим тарифам, действующим по во 2 полугодии года </w:t>
      </w:r>
      <w:r>
        <w:rPr>
          <w:rFonts w:eastAsia="Times New Roman"/>
          <w:color w:val="000000" w:themeColor="text1"/>
          <w:sz w:val="28"/>
          <w:szCs w:val="28"/>
          <w:highlight w:val="white"/>
          <w:lang w:val="en-US"/>
        </w:rPr>
        <w:t xml:space="preserve">N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-1. 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</w:p>
    <w:p>
      <w:pPr>
        <w:pStyle w:val="1035"/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Р(</w:t>
      </w:r>
      <w:r>
        <w:rPr>
          <w:rFonts w:eastAsia="Times New Roman"/>
          <w:color w:val="000000" w:themeColor="text1"/>
          <w:sz w:val="28"/>
          <w:szCs w:val="28"/>
        </w:rPr>
        <w:t xml:space="preserve">эо</w:t>
      </w:r>
      <w:r>
        <w:rPr>
          <w:rFonts w:eastAsia="Times New Roman"/>
          <w:color w:val="000000" w:themeColor="text1"/>
          <w:sz w:val="28"/>
          <w:szCs w:val="28"/>
        </w:rPr>
        <w:t xml:space="preserve">)N - экономически обоснованный едины</w:t>
      </w:r>
      <w:r>
        <w:rPr>
          <w:rFonts w:eastAsia="Times New Roman"/>
          <w:color w:val="000000" w:themeColor="text1"/>
          <w:sz w:val="28"/>
          <w:szCs w:val="28"/>
        </w:rPr>
        <w:t xml:space="preserve">й (котловой) тариф на услуги по передаче электрической энергии (без учета перекрестного субсидирования), поставляемой потребителям, не относящимся к населению и приравненным к нему категориям потребителей, на низком уровне напряжения во 2 полугодии года N.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1035"/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z w:val="28"/>
          <w:szCs w:val="28"/>
        </w:rPr>
      </w:pPr>
      <w:r>
        <w:t xml:space="preserve">Р</w:t>
      </w:r>
      <w:r>
        <w:rPr>
          <w:rFonts w:eastAsia="Times New Roman"/>
          <w:color w:val="000000" w:themeColor="text1"/>
          <w:sz w:val="28"/>
          <w:szCs w:val="28"/>
        </w:rPr>
        <w:t xml:space="preserve">(</w:t>
      </w:r>
      <w:r>
        <w:rPr>
          <w:rFonts w:eastAsia="Times New Roman"/>
          <w:color w:val="000000" w:themeColor="text1"/>
          <w:sz w:val="28"/>
          <w:szCs w:val="28"/>
        </w:rPr>
        <w:t xml:space="preserve">пп</w:t>
      </w:r>
      <w:r>
        <w:rPr>
          <w:rFonts w:eastAsia="Times New Roman"/>
          <w:color w:val="000000" w:themeColor="text1"/>
          <w:sz w:val="28"/>
          <w:szCs w:val="28"/>
        </w:rPr>
        <w:t xml:space="preserve">)N - рост единых (котловых) тарифов на услуги по пере</w:t>
      </w:r>
      <w:r>
        <w:rPr>
          <w:rFonts w:eastAsia="Times New Roman"/>
          <w:color w:val="000000" w:themeColor="text1"/>
          <w:sz w:val="28"/>
          <w:szCs w:val="28"/>
        </w:rPr>
        <w:t xml:space="preserve">даче электрической энергии, поставляемой потребителям, не относящимся к населению и приравненным к нему категориям потребителей, на низком уровне напряжения во 2 полугодии года N по отношению к соответствующим тарифам, действующим  во 2 полугодии года N-1.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953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необходимой валовой выручки (без учета расходов на оплату потерь электрической энергии)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555"/>
        <w:gridCol w:w="1556"/>
        <w:gridCol w:w="1556"/>
        <w:gridCol w:w="1556"/>
        <w:gridCol w:w="1556"/>
      </w:tblGrid>
      <w:tr>
        <w:tblPrEx/>
        <w:trPr>
          <w:trHeight w:val="486"/>
        </w:trPr>
        <w:tc>
          <w:tcPr>
            <w:tcW w:w="1897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5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auto" w:sz="8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9"/>
        </w:trPr>
        <w:tc>
          <w:tcPr>
            <w:tcW w:w="1897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НВВ**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ТСО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потерь), млн.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1031"/>
              <w:ind w:left="0"/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pStyle w:val="1031"/>
              <w:ind w:left="0"/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10 118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pStyle w:val="1031"/>
              <w:ind w:left="0"/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11 875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pStyle w:val="1031"/>
              <w:ind w:left="0"/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13 040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pStyle w:val="1031"/>
              <w:ind w:left="0"/>
              <w:jc w:val="center"/>
              <w:tabs>
                <w:tab w:val="left" w:pos="10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13 761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2" w:right="0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* Расчет показателя проведен с учетом роста регулируемых тарифов </w:t>
        <w:br/>
        <w:t xml:space="preserve">с 01.07.2026 года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42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**указанная величина НВВ подлежит уточнению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изменении </w:t>
        <w:br/>
        <w:t xml:space="preserve">параметров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Прогноза социально-экономического развития Российской </w:t>
        <w:br/>
        <w:t xml:space="preserve">Федерации на очередной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утверждении Сводного прогнозного баланса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производства и поставок электрической энергии (мощности)</w:t>
        <w:br/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скорректированной инвестиционной программы АО «Россети Янтарь»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  <w:br/>
        <w:t xml:space="preserve">с учетом экономически обоснованного объема финансовых средств,</w:t>
        <w:br/>
        <w:t xml:space="preserve">необходимого для осуществления регулируемой деятельности в течение</w:t>
        <w:br/>
        <w:t xml:space="preserve">расчетного периода регулирования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Плановые значения показателей надежности оказываемых услуг по передаче электрической энергии и порядок оценки их исполнения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показатели надежности оказываемых услуг по передаче электрической энергии: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301"/>
        <w:gridCol w:w="1408"/>
        <w:gridCol w:w="1428"/>
        <w:gridCol w:w="1298"/>
        <w:gridCol w:w="1307"/>
        <w:gridCol w:w="1409"/>
      </w:tblGrid>
      <w:tr>
        <w:tblPrEx/>
        <w:trPr>
          <w:jc w:val="center"/>
          <w:trHeight w:val="2127"/>
        </w:trPr>
        <w:tc>
          <w:tcPr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41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средней продолжительности прекращения передачи электрической энергии на точку поставки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4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средней частоты прекращения передачи электрической энергии на точку поставки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94"/>
        </w:trPr>
        <w:tc>
          <w:tcPr>
            <w:tcBorders>
              <w:bottom w:val="single" w:color="auto" w:sz="4" w:space="0"/>
            </w:tcBorders>
            <w:tcW w:w="157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41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4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71"/>
        </w:trPr>
        <w:tc>
          <w:tcPr>
            <w:shd w:val="clear" w:color="ffffff" w:fill="ffffff"/>
            <w:tcBorders>
              <w:top w:val="single" w:color="000000" w:sz="4" w:space="0"/>
            </w:tcBorders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4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29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0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Borders>
              <w:top w:val="single" w:color="auto" w:sz="4" w:space="0"/>
            </w:tcBorders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1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2,9116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0,3295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2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1,0248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1,0766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7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0,2886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9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0,6248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1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2,8359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0,3209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2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0,9982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1,0486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7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0,2811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9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0,6086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1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2,7622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0,3126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2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0,9722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1,0213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7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0,2738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9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0,5927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1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2,6903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0,3045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2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0,9469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0,9948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7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0,2667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9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0,5773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1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2,6204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0,2965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2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0,9223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0,9689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07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09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0,5623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Перечня существенных условий соглашений об условиях осуществления регулируемых видов деятельности, утвержденного постановлением Правительства Российской Федерации от 31.08.2023 №1416, </w:t>
      </w:r>
      <w:bookmarkStart w:id="2" w:name="_Hlk195968011"/>
      <w:r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 оказываемых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 на 2026 г. определены на уровне значений, принятых для АО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Янтарь» приказом Службы по государственному регулированию цен и тарифов Калининградской области от 14.12.2023 № 92-06э/23.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3" w:name="_Hlk195968041"/>
      <w:r/>
      <w:bookmarkEnd w:id="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Плановые значения показателей надежности оказываемых услуг на 2027-2030 годы определены с учетом динамики улучшения.</w:t>
      </w:r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Организация в соответствии пунктом 14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Положения об определении применяемых при установлении долгосрочных тарифов показателей надежности и качества поставляемых товаров и оказываемых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утвержденного постановлением Правительства Российской Федерации от 31.12.2009 № 1220 (далее –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Положение об определении показателей надежности и качества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ежегодно до 1 апреля года, следующим за отчетным, предоставляет регулирующему органу отчетные данные, сформированные в соответствии с </w:t>
      </w:r>
      <w:hyperlink r:id="rId13" w:tooltip="https://login.consultant.ru/link/?req=doc&amp;base=LAW&amp;n=454675&amp;dst=100013" w:history="1">
        <w:r>
          <w:rPr>
            <w:rFonts w:ascii="Times New Roman" w:hAnsi="Times New Roman" w:eastAsia="Times New Roman" w:cs="Times New Roman"/>
            <w:i/>
            <w:sz w:val="28"/>
            <w:szCs w:val="28"/>
            <w:highlight w:val="white"/>
          </w:rPr>
          <w:t xml:space="preserve">Методическими указаниями</w:t>
        </w:r>
      </w:hyperlink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, по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утвержденных приказом Минэнерго России от 29.11.2016 № 1256 (далее –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Методические указания по надежности и качеству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используемые при расчете фактических значений показателей надежности.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numPr>
          <w:ilvl w:val="0"/>
          <w:numId w:val="18"/>
        </w:numPr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Регулирующий орган в соответствии с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Методическими указаниями по надежности и качеству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определяет фактические значения показателей надежности и в соответствии с пунктом 2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Положения об определении показателей надежности и качества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срок до 1 июня публикует результаты в порядке, установленном законодательством Российской Федерации для опубликования решений регулирующих органов об установлении тарифов и (или) их предельных уровней.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31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Регулирующий орган в соответствии с </w:t>
      </w:r>
      <w:hyperlink r:id="rId14" w:tooltip="https://login.consultant.ru/link/?req=doc&amp;base=LAW&amp;n=106840&amp;dst=100011" w:history="1">
        <w:r>
          <w:rPr>
            <w:rFonts w:ascii="Times New Roman" w:hAnsi="Times New Roman" w:eastAsia="Times New Roman" w:cs="Times New Roman"/>
            <w:i/>
            <w:sz w:val="28"/>
            <w:szCs w:val="28"/>
            <w:highlight w:val="white"/>
          </w:rPr>
          <w:t xml:space="preserve">Методическими указаниями</w:t>
        </w:r>
      </w:hyperlink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 по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 расчету и применению понижающих (повышающих) коэффициентов, позволяющих обеспечить соответствие уровня тарифов, установленных для организаций, осуществляющих регулируемую деятельность, уровню надежности и качества поставляемых товаров и оказываемых услуг,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утвержденных приказом ФСТ России от 26.10.2010 №254-э/1 (далее –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Методические указания по расчету понижающих (повышающих) коэффициентов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принимает решение о применении корректировки необходимой валовой выручки организации в соответствии с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Основами ценообразования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4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Плановые значения показателей качества оказываемых услуг по передаче электрической энергии и порядок оценки их исполнения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уровня качества оказываемых услуг по передаче электрической энергии: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6"/>
        <w:gridCol w:w="8054"/>
      </w:tblGrid>
      <w:tr>
        <w:tblPrEx/>
        <w:trPr>
          <w:jc w:val="center"/>
          <w:trHeight w:val="417"/>
        </w:trPr>
        <w:tc>
          <w:tcPr>
            <w:tcBorders>
              <w:bottom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8054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05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1,7214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05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1,6766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05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1,6331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05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1,5906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05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1,5492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19"/>
        </w:numPr>
        <w:ind w:left="0"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пунктом 3 Перечня существенных условий соглашений об условиях осуществления регулируемых видов деятельности, утвержденного постановлением Правительства Российской Федерации от 31.08.2023 №1416, плановые значения показателей качества оказываемых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 на 2026 г. определены на уровне значений, принятых для АО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Янтарь» Службой по государственному регулированию цен и тарифов Калининградской области от 14.12.2023 № 92-06э/23.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0" w:firstLine="709"/>
        <w:jc w:val="both"/>
        <w:shd w:val="clear" w:color="ffffff" w:themeColor="background1" w:fill="ffffff" w:themeFill="background1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numPr>
          <w:ilvl w:val="0"/>
          <w:numId w:val="19"/>
        </w:numPr>
        <w:ind w:left="0"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Плановые значения показателей качества оказываемых услуг на 2027-2030 годы определены с учетом динамики улучшения.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0" w:firstLine="709"/>
        <w:jc w:val="both"/>
        <w:shd w:val="clear" w:color="ffffff" w:themeColor="background1" w:fill="ffffff" w:themeFill="background1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Организация в соответствии пунктом 14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Положения об определении показателей надежности и качества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ежегодно до 1 апреля года, следующим за отчетным, предоставляет регулирующему органу отчетные данные, сформированные в соответствии с </w:t>
      </w:r>
      <w:hyperlink r:id="rId15" w:tooltip="https://login.consultant.ru/link/?req=doc&amp;base=LAW&amp;n=454675&amp;dst=100013" w:history="1">
        <w:r>
          <w:rPr>
            <w:rFonts w:ascii="Times New Roman" w:hAnsi="Times New Roman" w:eastAsia="Times New Roman" w:cs="Times New Roman"/>
            <w:i/>
            <w:sz w:val="28"/>
            <w:szCs w:val="28"/>
            <w:highlight w:val="white"/>
          </w:rPr>
          <w:t xml:space="preserve">Методическими указаниями</w:t>
        </w:r>
      </w:hyperlink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 по надежности и качеству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используемые при расчете фактических значений показателей качества.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Регулирующий орган в соответствии с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Методическими указаниями по надежности и качеству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определяет фактические значения показателей качества и в соответствии с пунктом 2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Положения об определении показателей надежности и качества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срок до 1 июня публикует результаты в порядке, установленном законодательством Российской Федерации для опубликования решений регулирующих органов об установлении тарифов и (или) их предельных уровней.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Регулирующий орган в соответствии с </w:t>
      </w:r>
      <w:hyperlink r:id="rId16" w:tooltip="https://login.consultant.ru/link/?req=doc&amp;base=LAW&amp;n=106840&amp;dst=100011" w:history="1">
        <w:r>
          <w:rPr>
            <w:rFonts w:ascii="Times New Roman" w:hAnsi="Times New Roman" w:eastAsia="Times New Roman" w:cs="Times New Roman"/>
            <w:i/>
            <w:sz w:val="28"/>
            <w:szCs w:val="28"/>
            <w:highlight w:val="white"/>
          </w:rPr>
          <w:t xml:space="preserve">Методическими указаниями</w:t>
        </w:r>
      </w:hyperlink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 по расчету понижающих (повышающих) коэффициентов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принимает решение о применении корректировки необходимой валовой выручки организации в соответствии с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Основами ценообразования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5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потерь электрической энергии при ее передаче по электрическим сетям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31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потерь электрической энергии в электрических сетях организации: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07"/>
        <w:gridCol w:w="4852"/>
      </w:tblGrid>
      <w:tr>
        <w:tblPrEx/>
        <w:trPr>
          <w:jc w:val="center"/>
          <w:trHeight w:val="417"/>
        </w:trPr>
        <w:tc>
          <w:tcPr>
            <w:tcBorders>
              <w:bottom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Показатель, 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9,35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9,35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9,35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9,35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1696" w:type="dxa"/>
            <w:vAlign w:val="center"/>
            <w:textDirection w:val="lrTb"/>
            <w:noWrap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9,35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Перечня существенных условий соглашений об услов</w:t>
      </w:r>
      <w:r>
        <w:rPr>
          <w:rFonts w:ascii="Times New Roman" w:hAnsi="Times New Roman" w:cs="Times New Roman"/>
          <w:sz w:val="28"/>
          <w:szCs w:val="28"/>
        </w:rPr>
        <w:t xml:space="preserve">иях осуществления регулируемых видов деятельности, утвержденного постановлением Правительства Российской Федерации от 31.08.2023 №1416, плановые значения уровня потерь электрической энергии на 2026-2030 гг., определены на уровне значений, принятых для 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Янтарь» приказом Службы по государственному регулированию цен и тарифов Калининградской области от 14.12.2023 № 92-06э/23.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потерь электрическ</w:t>
      </w:r>
      <w:r>
        <w:rPr>
          <w:rFonts w:ascii="Times New Roman" w:hAnsi="Times New Roman" w:cs="Times New Roman"/>
          <w:sz w:val="28"/>
          <w:szCs w:val="28"/>
        </w:rPr>
        <w:t xml:space="preserve">ой энергии в объектах электросетевого хозяйства, права собственности или иные предусмотренные законом права, на которые перешли к Организации в течение срока действия настоящего Соглашения, определяется в соответствии с пунктом 40(1) Основ ценообразования.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Оценка исполнения обязательств территориальной сетевой организации в части достижения уровня потерь электрической энергии при ее передаче по электрическим сетям производится Регулирующим органом ежегодно.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оценки Организация предоставляет </w:t>
      </w:r>
      <w:bookmarkStart w:id="4" w:name="undefined"/>
      <w:r>
        <w:rPr>
          <w:rFonts w:ascii="Times New Roman" w:hAnsi="Times New Roman" w:cs="Times New Roman"/>
          <w:sz w:val="28"/>
          <w:szCs w:val="28"/>
        </w:rPr>
        <w:t xml:space="preserve">Регулирующему органу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информацию о фактическом уровне потерь за отчетный год не позднее 1 мая года, следующего за отчетным.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достижения, указанного в пункте 1 </w:t>
      </w:r>
      <w:r>
        <w:rPr>
          <w:rFonts w:ascii="Times New Roman" w:hAnsi="Times New Roman" w:cs="Times New Roman"/>
          <w:sz w:val="28"/>
          <w:szCs w:val="28"/>
        </w:rPr>
        <w:t xml:space="preserve">уровня потерь электрической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/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="Cambria Math" w:cs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eastAsia="Cambria Math" w:cs="Cambria Math"/>
                  <w:sz w:val="28"/>
                  <w:szCs w:val="28"/>
                  <w:lang w:val="en-US"/>
                </w:rPr>
                <m:rPr/>
                <m:t>N</m:t>
              </m:r>
            </m:e>
            <m:sub>
              <m:r>
                <w:rPr>
                  <w:rFonts w:ascii="Cambria Math" w:hAnsi="Cambria Math" w:eastAsia="Cambria Math" w:cs="Cambria Math"/>
                  <w:sz w:val="28"/>
                  <w:szCs w:val="28"/>
                </w:rPr>
                <m:rPr/>
                <m:t>i</m:t>
              </m:r>
            </m:sub>
          </m:sSub>
          <m:r>
            <w:rPr>
              <w:rFonts w:ascii="Cambria Math" w:hAnsi="Cambria Math" w:eastAsia="Cambria Math" w:cs="Cambria Math"/>
              <w:sz w:val="28"/>
              <w:szCs w:val="28"/>
            </w:rPr>
            <m:rPr/>
            <m:t>≥</m:t>
          </m:r>
          <m:f>
            <m:fPr>
              <m:ctrlPr>
                <w:rPr>
                  <w:rFonts w:ascii="Cambria Math" w:hAnsi="Cambria Math" w:eastAsia="Cambria Math" w:cs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sz w:val="28"/>
                  <w:szCs w:val="28"/>
                </w:rPr>
                <m:rPr/>
                <m:t>∆</m:t>
              </m:r>
              <m:sSubSup>
                <m:sSubSupPr>
                  <m:alnScr m:val="off"/>
                  <m:ctrlPr>
                    <w:rPr>
                      <w:rFonts w:ascii="Cambria Math" w:hAnsi="Cambria Math" w:eastAsia="Cambria Math" w:cs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eastAsia="Cambria Math" w:cs="Cambria Math"/>
                      <w:sz w:val="28"/>
                      <w:szCs w:val="28"/>
                    </w:rPr>
                    <m:rPr/>
                    <m:t>W</m:t>
                  </m:r>
                </m:e>
                <m:sub>
                  <m:r>
                    <w:rPr>
                      <w:rFonts w:ascii="Cambria Math" w:hAnsi="Cambria Math" w:eastAsia="Cambria Math" w:cs="Cambria Math"/>
                      <w:sz w:val="28"/>
                      <w:szCs w:val="28"/>
                    </w:rPr>
                    <m:rPr/>
                    <m:t>i</m:t>
                  </m:r>
                </m:sub>
                <m:sup>
                  <m:r>
                    <w:rPr>
                      <w:rFonts w:ascii="Cambria Math" w:hAnsi="Cambria Math" w:eastAsia="Cambria Math" w:cs="Cambria Math"/>
                      <w:sz w:val="28"/>
                      <w:szCs w:val="28"/>
                    </w:rPr>
                    <m:rPr/>
                    <m:t>факт</m:t>
                  </m:r>
                </m:sup>
              </m:sSubSup>
            </m:num>
            <m:den>
              <m:sSubSup>
                <m:sSubSupPr>
                  <m:alnScr m:val="off"/>
                  <m:ctrlPr>
                    <w:rPr>
                      <w:rFonts w:ascii="Cambria Math" w:hAnsi="Cambria Math" w:eastAsia="Cambria Math" w:cs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eastAsia="Cambria Math" w:cs="Cambria Math"/>
                      <w:sz w:val="28"/>
                      <w:szCs w:val="28"/>
                    </w:rPr>
                    <m:rPr/>
                    <m:t>W</m:t>
                  </m:r>
                </m:e>
                <m:sub>
                  <m:r>
                    <w:rPr>
                      <w:rFonts w:ascii="Cambria Math" w:hAnsi="Cambria Math" w:eastAsia="Cambria Math" w:cs="Cambria Math"/>
                      <w:sz w:val="28"/>
                      <w:szCs w:val="28"/>
                    </w:rPr>
                    <m:rPr/>
                    <m:t>i</m:t>
                  </m:r>
                </m:sub>
                <m:sup>
                  <m:r>
                    <w:rPr>
                      <w:rFonts w:ascii="Cambria Math" w:hAnsi="Cambria Math" w:eastAsia="Cambria Math" w:cs="Cambria Math"/>
                      <w:sz w:val="28"/>
                      <w:szCs w:val="28"/>
                    </w:rPr>
                    <m:rPr/>
                    <m:t>ОС факт</m:t>
                  </m:r>
                </m:sup>
              </m:sSubSup>
            </m:den>
          </m:f>
          <m:r>
            <w:rPr>
              <w:rFonts w:ascii="Cambria Math" w:hAnsi="Cambria Math" w:eastAsia="Cambria Math" w:cs="Cambria Math"/>
              <w:sz w:val="28"/>
              <w:szCs w:val="28"/>
            </w:rPr>
            <m:rPr/>
            <m:t>×100,</m:t>
          </m:r>
        </m:oMath>
      </m:oMathPara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="Cambria Math" w:cs="Cambria Math"/>
                <w:sz w:val="28"/>
                <w:szCs w:val="28"/>
                <w:lang w:val="en-US"/>
              </w:rPr>
              <m:rPr/>
              <m:t>N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</w:rPr>
              <m:rPr/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уровень потерь электрической энергии в процентах при ее передаче по электрическим сетям (к отпуску (поступлению) электрической энергии в сеть), указанный в пункте 1 на год i;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/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eastAsia="Cambria Math" w:cs="Cambria Math"/>
                <w:sz w:val="28"/>
                <w:szCs w:val="28"/>
              </w:rPr>
              <m:rPr/>
              <m:t>∆</m:t>
            </m:r>
            <m:r>
              <w:rPr>
                <w:rFonts w:ascii="Cambria Math" w:hAnsi="Cambria Math" w:eastAsia="Cambria Math" w:cs="Cambria Math"/>
                <w:sz w:val="28"/>
                <w:szCs w:val="28"/>
                <w:lang w:val="en-US"/>
              </w:rPr>
              <m:rPr/>
              <m:t>W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</w:rPr>
              <m:rPr/>
              <m:t>i</m:t>
            </m:r>
          </m:sub>
          <m:sup>
            <m:r>
              <w:rPr>
                <w:rFonts w:ascii="Cambria Math" w:hAnsi="Cambria Math" w:eastAsia="Cambria Math" w:cs="Cambria Math"/>
                <w:sz w:val="28"/>
                <w:szCs w:val="28"/>
              </w:rPr>
              <m:rPr/>
              <m:t>факт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- величина фактических потерь электрической энергии при её пе</w:t>
      </w:r>
      <w:r>
        <w:rPr>
          <w:rFonts w:ascii="Times New Roman" w:hAnsi="Times New Roman" w:cs="Times New Roman"/>
          <w:sz w:val="28"/>
          <w:szCs w:val="28"/>
        </w:rPr>
        <w:t xml:space="preserve">редаче</w:t>
      </w:r>
      <w:r>
        <w:rPr>
          <w:rFonts w:ascii="Times New Roman" w:hAnsi="Times New Roman" w:cs="Times New Roman"/>
          <w:sz w:val="28"/>
          <w:szCs w:val="28"/>
        </w:rPr>
        <w:t xml:space="preserve"> по электрическим сетям Организации за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без учета об</w:t>
      </w:r>
      <w:r>
        <w:rPr>
          <w:rFonts w:ascii="Times New Roman" w:hAnsi="Times New Roman" w:cs="Times New Roman"/>
          <w:sz w:val="28"/>
          <w:szCs w:val="28"/>
        </w:rPr>
        <w:t xml:space="preserve">ъектов электросетевого хозяйства, ранее используемых иной территориальной сетевой организацией, права собственности или иные предусмотренные законом права, на которые перешли к Организации в течение срока действия настоящего регуляторного соглашения (тыс. </w:t>
      </w:r>
      <w:r>
        <w:rPr>
          <w:rFonts w:ascii="Times New Roman" w:hAnsi="Times New Roman" w:cs="Times New Roman"/>
          <w:sz w:val="28"/>
          <w:szCs w:val="28"/>
        </w:rPr>
        <w:t xml:space="preserve">кВт.ч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/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eastAsia="Cambria Math" w:cs="Cambria Math"/>
                <w:sz w:val="28"/>
                <w:szCs w:val="28"/>
                <w:lang w:val="en-US"/>
              </w:rPr>
              <m:rPr/>
              <m:t>W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</w:rPr>
              <m:rPr/>
              <m:t>i</m:t>
            </m:r>
          </m:sub>
          <m:sup>
            <m:r>
              <w:rPr>
                <w:rFonts w:ascii="Cambria Math" w:hAnsi="Cambria Math" w:eastAsia="Cambria Math" w:cs="Cambria Math"/>
                <w:sz w:val="28"/>
                <w:szCs w:val="28"/>
              </w:rPr>
              <m:rPr/>
              <m:t>ОС факт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- величина фактического отпуска электрической энергии в сеть Организации за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без учета о</w:t>
      </w:r>
      <w:r>
        <w:rPr>
          <w:rFonts w:ascii="Times New Roman" w:hAnsi="Times New Roman" w:cs="Times New Roman"/>
          <w:sz w:val="28"/>
          <w:szCs w:val="28"/>
        </w:rPr>
        <w:t xml:space="preserve">бъектов электросетевого хозяйства, ранее используемых иной территориальной сетевой организацией права собственности или иные предусмотренные законом права, на которые перешли к Организации в течение срока действия настоящего регуляторного соглашения (тыс. </w:t>
      </w:r>
      <w:r>
        <w:rPr>
          <w:rFonts w:ascii="Times New Roman" w:hAnsi="Times New Roman" w:cs="Times New Roman"/>
          <w:sz w:val="28"/>
          <w:szCs w:val="28"/>
        </w:rPr>
        <w:t xml:space="preserve">кВт.ч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соблюдении указанного неравенства показатель считается достигнутым.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31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31"/>
        <w:ind w:left="0" w:firstLine="709"/>
        <w:jc w:val="both"/>
        <w:keepLines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При недостижении уровня потерь электрической энергии в электрических сетях организации на год i предусматривается ответственность организа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в виде отрицательной корректировки НВВ размере 5% от стоимостного объема превышения фактического уровня потерь электрической энергии в электрических сетях организации от плановых значений, установленных в пункте 1 приложения 5 к настоящему соглашению.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31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566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107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6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учета в течение срока действия настоящего соглашения результатов деятельности организации до перехода к государственному регулированию цен (тарифов) на услуги по передаче электрической энергии на основе настоящего Соглашения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5"/>
        <w:numPr>
          <w:ilvl w:val="0"/>
          <w:numId w:val="21"/>
        </w:numPr>
        <w:ind w:left="0"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В соответствии с экспертным заключением Службы по государственному регулированию цен и тарифов Калининградской области по делу об установлении тарифов для АО «</w:t>
      </w:r>
      <w:r>
        <w:rPr>
          <w:rFonts w:eastAsiaTheme="minorEastAsia"/>
          <w:color w:val="auto"/>
          <w:sz w:val="28"/>
          <w:szCs w:val="28"/>
        </w:rPr>
        <w:t xml:space="preserve">Россети</w:t>
      </w:r>
      <w:r>
        <w:rPr>
          <w:rFonts w:eastAsiaTheme="minorEastAsia"/>
          <w:color w:val="auto"/>
          <w:sz w:val="28"/>
          <w:szCs w:val="28"/>
        </w:rPr>
        <w:t xml:space="preserve"> Янтарь» на услуги по передаче электрической энергии на 2025 год в рамках долгосрочных параметров регулирования на период 2028-2028 го</w:t>
      </w:r>
      <w:r>
        <w:rPr>
          <w:rFonts w:eastAsiaTheme="minorEastAsia"/>
          <w:color w:val="auto"/>
          <w:sz w:val="28"/>
          <w:szCs w:val="28"/>
        </w:rPr>
        <w:t xml:space="preserve">дов (далее – Экспертное заключение), объем накопленного сглаживания необходимой валовой выручки в соответствии с пунктом 7 Основ ценообразования по состоянию на 31.12.2025 составляет 680 363 530 рублей (без применения ИПЦ) (стр. 86 Экспертного заключения).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pStyle w:val="1035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pStyle w:val="1035"/>
        <w:numPr>
          <w:ilvl w:val="0"/>
          <w:numId w:val="21"/>
        </w:numPr>
        <w:ind w:left="0"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Регулирующий орган обеспечивает возврат (учет в тарифах) в НВВ организации накопленного сглаживания в объемах, не менее указанных по строке 2 таблицы приложения 6 к настоящему соглашению: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34"/>
        <w:tblW w:w="14601" w:type="dxa"/>
        <w:tblLook w:val="04A0" w:firstRow="1" w:lastRow="0" w:firstColumn="1" w:lastColumn="0" w:noHBand="0" w:noVBand="1"/>
      </w:tblPr>
      <w:tblGrid>
        <w:gridCol w:w="421"/>
        <w:gridCol w:w="3260"/>
        <w:gridCol w:w="1820"/>
        <w:gridCol w:w="1820"/>
        <w:gridCol w:w="1820"/>
        <w:gridCol w:w="1820"/>
        <w:gridCol w:w="1820"/>
        <w:gridCol w:w="1820"/>
      </w:tblGrid>
      <w:tr>
        <w:tblPrEx/>
        <w:trPr/>
        <w:tc>
          <w:tcPr>
            <w:tcBorders>
              <w:bottom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накопленного сглаживания необходимой валовой выручки на начало года (без учета ИПЦ),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рублей.*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680 364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680 364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680 364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(учет в тарифах) сглаживания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валовой выручки (без учета ИПЦ), тыс. рублей.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657 000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680 364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ИПЦ**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(учет в тарифах) сглаживания необходимой валовой выручки (с учетом ИПЦ), тыс. рублей.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713 984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27 701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741 685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накопленного сглаживания необходимой валовой выручки на конец года (без учета ИПЦ),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рублей.*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680 364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680 364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23 364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объем накопленного сглаживания необходимой валовой выручки организации на на</w:t>
      </w:r>
      <w:r>
        <w:rPr>
          <w:rFonts w:ascii="Times New Roman" w:hAnsi="Times New Roman" w:cs="Times New Roman"/>
          <w:sz w:val="24"/>
          <w:szCs w:val="24"/>
        </w:rPr>
        <w:t xml:space="preserve">чало/конец года определяется суммой всех величин, примененных за годы, в которых регулирующим органом был применен механизм сглаживания необходимой валовой выручки, за минусом его возврата (учета в тарифах) в соответствующие годы, без учета показателя ИПЦ.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при установлении цен (тарифов) на очередной период (год)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регулирования в целях возврата корректировок необходимой валовой выручки применяются индексы потребительских цен согласно последнему опубликованному на момент установления цен (тарифов) Прогнозу социально-экономического развития Российской Федерации (СЭП).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сумма возврата (учета в тарифах) сглаживания необходимой валовой выручки (сумма всех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по строке 2 таблицы приложения 6 к настоящему соглашению) должна быть равна объему накопленного сглаживания необходимой валовой выручки на начало действия настоящего соглашения (показатель строки 1 таблицы приложения 6 к настоящему соглашению за 2026 год)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21"/>
        </w:numPr>
        <w:ind w:left="0" w:firstLine="709"/>
        <w:jc w:val="both"/>
        <w:spacing w:after="160" w:line="259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Прочие результаты деятельности организации до перехода к госу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дарственному урегулированию цен (тарифов) на услуги по передаче электрической энергии на основе настоящего Соглашения, не указанные в пункте 1 приложения 6 к настоящему Соглашению, учитываются регулирующим органом в соответствии с Основами ценообразования.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7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39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учета в течение срока действия настоящего соглашения результатов деятельности организации, полученных в течение срока действия настоящего Соглашения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5"/>
        <w:numPr>
          <w:ilvl w:val="0"/>
          <w:numId w:val="47"/>
        </w:numPr>
        <w:ind w:left="0"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Регулирую</w:t>
      </w:r>
      <w:r>
        <w:rPr>
          <w:rFonts w:eastAsiaTheme="minorEastAsia"/>
          <w:color w:val="auto"/>
          <w:sz w:val="28"/>
          <w:szCs w:val="28"/>
        </w:rPr>
        <w:t xml:space="preserve">щий орган имеет право применять механизм сглаживания необходимой валовой выручки организации в соответствии с пунктом 7 Основ ценообразования в период действия настоящего соглашения в порядке и в объемах, определенном приложением 7 к настоящему соглашению.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pStyle w:val="1035"/>
        <w:numPr>
          <w:ilvl w:val="0"/>
          <w:numId w:val="47"/>
        </w:numPr>
        <w:ind w:left="0"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Регулирующий орган обеспечивает возврат (учет в тарифах) в необходимой валовой выручке организации накопленного сглаживания в следующем порядке и в объемах, не менее указанн</w:t>
      </w:r>
      <w:r>
        <w:rPr>
          <w:rFonts w:eastAsiaTheme="minorEastAsia"/>
          <w:color w:val="auto"/>
          <w:sz w:val="28"/>
          <w:szCs w:val="28"/>
        </w:rPr>
        <w:t xml:space="preserve">ых по строке 3 таблицы приложения 7 к настоящему соглашению. При этом предельный объем накопленного сглаживания необходимой валовой выручки организации не может превышать показателей, указанных по строкам 1 и 6 таблицы приложения 7 к настоящему соглашению.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pStyle w:val="1035"/>
        <w:numPr>
          <w:ilvl w:val="0"/>
          <w:numId w:val="47"/>
        </w:numPr>
        <w:ind w:left="0"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По письменному согласованию с организацией требования пунктов 1 и 2 приложения 7 к настоящему согла</w:t>
      </w:r>
      <w:r>
        <w:rPr>
          <w:rFonts w:eastAsiaTheme="minorEastAsia"/>
          <w:color w:val="auto"/>
          <w:sz w:val="28"/>
          <w:szCs w:val="28"/>
        </w:rPr>
        <w:t xml:space="preserve">шению не распространяются на случаи признания регулирующим органом доходов и расходов организации, неучтенных при формировании параметров настоящего соглашения и выявленных (направленных организацией в рамках тарифных кампаний) в период действия соглашения</w:t>
      </w:r>
      <w:r>
        <w:rPr>
          <w:color w:val="auto"/>
          <w:sz w:val="28"/>
          <w:szCs w:val="28"/>
        </w:rPr>
        <w:t xml:space="preserve">.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34"/>
        <w:tblW w:w="14601" w:type="dxa"/>
        <w:tblLook w:val="04A0" w:firstRow="1" w:lastRow="0" w:firstColumn="1" w:lastColumn="0" w:noHBand="0" w:noVBand="1"/>
      </w:tblPr>
      <w:tblGrid>
        <w:gridCol w:w="421"/>
        <w:gridCol w:w="3260"/>
        <w:gridCol w:w="1820"/>
        <w:gridCol w:w="1820"/>
        <w:gridCol w:w="1820"/>
        <w:gridCol w:w="1820"/>
        <w:gridCol w:w="1820"/>
        <w:gridCol w:w="1820"/>
      </w:tblGrid>
      <w:tr>
        <w:tblPrEx/>
        <w:trPr/>
        <w:tc>
          <w:tcPr>
            <w:tcBorders>
              <w:bottom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Итого***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Предельный объем накопленного сглаживания необходимой валовой выручки на начало года (без учета ИПЦ), тыс.руб.*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974 800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1 820 800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1 820 800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654 000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Предельный объем примененного сглаживания необходимой валовой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выручки в соответствующем году в период действия настоящего соглашения (без учета ИПЦ),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тыс.руб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974 800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846 000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1 820 800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Минимальный объем возврата (учета в тарифах) сглаживания необходимой валовой выручки (без учета ИПЦ),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тыс.руб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1 166 800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654 000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1 820 800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ИПЦ**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ИПЦ согласно СЭП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Минимальный объем возврата (учета в тарифах) сглаживания необходимой валовой выручки (с учетом ИПЦ),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тыс.руб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1 259 569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735 661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1 995 230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Предельный объем накопленного сглаживания необходимой валовой выручки на конец года (без учета ИПЦ), тыс.руб.*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974 800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1 812 800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1 820 800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654 000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20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предельный объем накопленного сглаживания необходимой валовой выручки организации на на</w:t>
      </w:r>
      <w:r>
        <w:rPr>
          <w:rFonts w:ascii="Times New Roman" w:hAnsi="Times New Roman" w:cs="Times New Roman"/>
          <w:sz w:val="24"/>
          <w:szCs w:val="24"/>
        </w:rPr>
        <w:t xml:space="preserve">чало/конец года определяется суммой всех величин, примененных за годы, в которых регулирующим органом был применен механизм сглаживания необходимой валовой выручки, за минусом его возврата (учета в тарифах) в соответствующие годы, без учета показателя ИПЦ.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при установлении цен (тарифов) на очередной период (год)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регулирования в целях возврата корректировок необходимой валовой выручки применяются индексы потребительских цен согласно последнему опубликованному на момент установления цен (тарифов) Прогнозу социально-экономического развития Российской Федерации (СЭП).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сумма возврата (учета в тарифах) сглаживания необходимой </w:t>
      </w:r>
      <w:r>
        <w:rPr>
          <w:rFonts w:ascii="Times New Roman" w:hAnsi="Times New Roman" w:cs="Times New Roman"/>
          <w:sz w:val="24"/>
          <w:szCs w:val="24"/>
        </w:rPr>
        <w:t xml:space="preserve">валовой выручки (сумма всех показателей по строке 3 таблицы приложения 7 к настоящему соглашению) должна быть равна сумме примененного сглаживания необходимой валовой выручки (сумма всех показателей по строке 2 таблицы приложения 7 к настоящему соглашению)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1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31"/>
        <w:numPr>
          <w:ilvl w:val="0"/>
          <w:numId w:val="47"/>
        </w:numPr>
        <w:ind w:left="0" w:firstLine="709"/>
        <w:jc w:val="both"/>
        <w:spacing w:after="160" w:line="259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Прочие результаты деятельности организации, полученные в течение срока действия настоящего Соглашения, не указанные в пунктах 1-3 приложения 6 к настоящему Соглашению, учитываются регулирующим органом в соответствии с Основами ценообразования.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5"/>
        <w:ind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pStyle w:val="1031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  <w:sectPr>
          <w:footnotePr/>
          <w:endnotePr/>
          <w:type w:val="nextPage"/>
          <w:pgSz w:w="16838" w:h="11906" w:orient="landscape"/>
          <w:pgMar w:top="993" w:right="1134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31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8 </w:t>
      </w:r>
      <w:r>
        <w:rPr>
          <w:rFonts w:ascii="Times New Roman" w:hAnsi="Times New Roman" w:cs="Times New Roman"/>
          <w:sz w:val="28"/>
          <w:szCs w:val="28"/>
        </w:rPr>
        <w:t xml:space="preserve">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tabs>
          <w:tab w:val="left" w:pos="390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Источники реализации инвестиционной программы организации за счет средств, учитываемых при установлении цен (тарифов) на услуги по передаче электрической энергии по регулируемым ценам (тарифам)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31"/>
        <w:numPr>
          <w:ilvl w:val="0"/>
          <w:numId w:val="50"/>
        </w:numPr>
        <w:ind w:left="0" w:firstLine="426"/>
        <w:jc w:val="both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Источники реализации инвестиционной программы на 2026-2030 годы: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10345" w:type="dxa"/>
        <w:tblInd w:w="-714" w:type="dxa"/>
        <w:tblLook w:val="04A0" w:firstRow="1" w:lastRow="0" w:firstColumn="1" w:lastColumn="0" w:noHBand="0" w:noVBand="1"/>
      </w:tblPr>
      <w:tblGrid>
        <w:gridCol w:w="847"/>
        <w:gridCol w:w="3119"/>
        <w:gridCol w:w="1276"/>
        <w:gridCol w:w="1275"/>
        <w:gridCol w:w="1276"/>
        <w:gridCol w:w="1276"/>
        <w:gridCol w:w="1276"/>
      </w:tblGrid>
      <w:tr>
        <w:tblPrEx/>
        <w:trPr>
          <w:trHeight w:val="4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500"/>
        </w:trPr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Итого объемы финансирования ИПР, учитываемые при установлении тарифов (цен) на услуги по передаче электрической энергии, тыс. руб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. без НДС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3 195 502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4 786 668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5 060 480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4 212 697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3 987 092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амортизация, учитываемая при установлении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тарифов 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услуги по передаче электрической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2 482 502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2 556 977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2 633 686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2 712 697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2 904 176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прибыль на капитальные вложения,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учитываемая при установлении тарифов на услуги по передаче электрической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713 000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2 229 691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2 426 794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1 500 000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1 082 916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1.2.1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в т.ч. на реализацию мероприятий в целях технологического присоединения льготных категорий заявителей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713 000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2 229 691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2 426 794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1 500 000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1 082 916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50"/>
        </w:numPr>
        <w:ind w:left="0" w:firstLine="360"/>
        <w:jc w:val="both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ежегодно </w:t>
      </w:r>
      <w:r>
        <w:rPr>
          <w:rFonts w:ascii="Times New Roman" w:hAnsi="Times New Roman" w:cs="Times New Roman"/>
          <w:sz w:val="28"/>
          <w:szCs w:val="28"/>
        </w:rPr>
        <w:t xml:space="preserve">до 1 мая</w:t>
      </w:r>
      <w:r>
        <w:rPr>
          <w:rFonts w:ascii="Times New Roman" w:hAnsi="Times New Roman" w:cs="Times New Roman"/>
          <w:sz w:val="28"/>
          <w:szCs w:val="28"/>
        </w:rPr>
        <w:t xml:space="preserve"> текущего в составе тарифной заявки на очередной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Службу отчет о реализации утвержденной в установленном порядке инвестиционной программы за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-2.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50"/>
        </w:numPr>
        <w:ind w:left="0" w:firstLine="360"/>
        <w:jc w:val="both"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и учет в необходимой валовой выручке на год i результатов исполнения инвестиционной программы за год i-2 осуществляется Службой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bookmarkStart w:id="5" w:name="_GoBack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по формуле 9.11 пункта 11(3) МУ 98-э.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9 </w:t>
      </w:r>
      <w:r>
        <w:rPr>
          <w:rFonts w:ascii="Times New Roman" w:hAnsi="Times New Roman" w:cs="Times New Roman"/>
          <w:sz w:val="28"/>
          <w:szCs w:val="28"/>
        </w:rPr>
        <w:t xml:space="preserve">к Соглашению об условиях осуществления регулируемых видов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3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учета в тарифах на услуги по передаче электрической энергии мероприятий, связанных с технологическим присоединением льготных категорий заявителей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31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Регулирующий орган в течение срока действия настоящего соглашения определяет общий объем мероприятий, связанных с технологическим присоединением льготных категорий заявителей,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/>
      <m:oMathPara>
        <m:oMathParaPr/>
        <m:oMath>
          <m:sSubSup>
            <m:sSubSupPr>
              <m:alnScr m:val="off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rPr/>
                <m:t>i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ЛТП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rPr/>
            <m:t>=</m:t>
          </m:r>
          <m:sSubSup>
            <m:sSubSupPr>
              <m:alnScr m:val="off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rPr/>
                <m:t>i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м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rPr/>
            <m:t>+</m:t>
          </m:r>
          <m:sSubSup>
            <m:sSubSupPr>
              <m:alnScr m:val="off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rPr/>
                <m:t>B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rPr/>
                <m:t>i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долг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rPr/>
            <m:t>*</m:t>
          </m:r>
          <m:nary>
            <m:naryPr>
              <m:chr m:val="∏"/>
              <m:grow m:val="off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j=2026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rPr/>
                <m:t>i</m:t>
              </m:r>
            </m:sup>
            <m:e>
              <m:sSubSup>
                <m:sSubSupPr>
                  <m:alnScr m:val="off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ИПЦ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rPr/>
                    <m:t>j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пл</m:t>
                  </m:r>
                </m:sup>
              </m:sSubSup>
            </m:e>
          </m:nary>
        </m:oMath>
      </m:oMathPara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ЛТП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– общий объем мероприятий, связанных с технологическим присоединением льготных категорий потребителей, необходимый к учету в тарифах на услуги по передаче электрической энергии (мощности) на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– плановый объем мероприятий, связанных с технологическим присоединением льготных категорий потребителей на год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, рассчитанный согласно Методическим указаниям по определению выпадающих доходов, связанных с осуществлением технологического присоединения к электрическим сетям, утвержденным приказом ФСТ России от 11.09.2014 № 215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-э/1 (далее –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Методические указания по выпадающих доходам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ТП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), с учетом следующих особенностей, определенных настоящим соглашением, а именно: плановые значения объема максимальной мощности, длины линий и количества точек учета электрической энергии (мощности) (</w:t>
      </w:r>
      <w:hyperlink r:id="rId17" w:tooltip="https://login.consultant.ru/link/?req=doc&amp;base=LAW&amp;n=495169&amp;dst=2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столбец 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приложения 1 и приложения 3 к методическим указаниям по выпадающим доходам ТП) определяются на основании имеющихся фактических сведений об осуществлении технологического присоединения за 2025 год.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долг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– объем накопленных обя</w:t>
      </w:r>
      <w:r>
        <w:rPr>
          <w:rFonts w:ascii="Times New Roman" w:hAnsi="Times New Roman" w:cs="Times New Roman"/>
          <w:sz w:val="28"/>
          <w:szCs w:val="28"/>
        </w:rPr>
        <w:t xml:space="preserve">зательств на последнюю отчетную дату по исполнению заключенных, но не исполненных договоров на технологическое присоединение заявителей, определенных законодательством как льготная категория на дату подписания договора, запланированный к реализации в году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Показатель рассчитывается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m:oMathPara>
        <m:oMathParaPr/>
        <m:oMath>
          <m:sSubSup>
            <m:sSubSupPr>
              <m:alnScr m:val="off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rPr/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долг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rPr/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rPr/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rPr/>
            <m:t>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В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rPr/>
                <m:t>долг</m:t>
              </m:r>
            </m:sup>
          </m:sSup>
        </m:oMath>
      </m:oMathPara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</w:rPr>
              <m:rPr/>
              <m:t>К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lang w:val="en-US"/>
              </w:rPr>
              <m:rPr/>
              <m:t>i</m:t>
            </m:r>
          </m:sub>
        </m:sSub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реализации накопленных обязательств, определенный в отношении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-го периода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Регулирующий орган при расчете показателя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долг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год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принимает коэффициент К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следующих размерах: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1046"/>
        <w:tblW w:w="7651" w:type="dxa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2127"/>
      </w:tblGrid>
      <w:tr>
        <w:tblPrEx/>
        <w:trPr>
          <w:trHeight w:val="58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8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менее 21%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менее 60%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менее 100%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В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</w:rPr>
        <w:t xml:space="preserve">долг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объем накопленных обязательств по исполнению заключенных, но не исполненных договоров на технологическое присоединение заявителей, определенных законодательством как льготная категория на дату подписания договора.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59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ИПЦ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пл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индекс потребительских цен согласно последнему опубликованному на момент установления цен (тарифов) Прогнозу социально-экономического развития Российской Федерации на периоды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=2026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=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59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 В целях учета в тарифах на год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организация ежегодно направляет в регулирующий орган подтверждение оставшегося объема накопленных обязательств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долг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учетом накопленного факта исполнения инвестиционных мероприятий: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перечень заключенных, но неисполненных договоров на технологическое присоединение льготных категорий заявителей на последнюю отчетную дату;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расчет стоимости выполнения инвестиционны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мероприятий по исполнению указанных договоров на технологическое присоединение льготных категорий заявителей. При этом объем финансовых потребностей, необходимых для реализации инвестиционных мероприятий, не должен превышать объем финансовых потребностей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определенный в соответствии с </w:t>
      </w:r>
      <w:hyperlink r:id="rId18" w:tooltip="https://login.consultant.ru/link/?req=doc&amp;base=LAW&amp;n=471328&amp;dst=10001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укрупненными нормативами</w:t>
        </w:r>
      </w:hyperlink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цены типовых технологических решений капитального строительства объектов электроэнергетики, утверждаемыми Министерством энергетики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1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Соглашению об условиях осуществления регулируемых видов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Перечень договоров по технологическому присоединению льготных категорий заявителей, заключенных и не исполненных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1031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учета в тарифах расходов на реализацию договоров по технологическому присоединению заявителей, заключенных и не исполненных по состоянию на 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1.09.2025, организация представляет в Службу Перечень договоров по технологическому присоединению льготных категорий заявителей (далее - Перечень), копии (в электронном виде) указанных договоров согласно Перечню не позднее 01.11.2025.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31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Организация размещает Перечень, указанный в пункте 1 приложения 10 к настоящему соглашению, на своем официальном сайте в сети не позднее 01.11.2025.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31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дальнейшем перечень договоров подлежит ежегодной актуализации по состоянию на 1 сентября текущего года, актуализированный перечень направляется в регулирующий орган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виде и на бумажном носителе до 1 ноября текущего года.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Microsoft Sans Serif">
    <w:panose1 w:val="020B0604020202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03332078"/>
      <w:docPartObj>
        <w:docPartGallery w:val="Page Numbers (Bottom of Page)"/>
        <w:docPartUnique w:val="true"/>
      </w:docPartObj>
      <w:rPr/>
    </w:sdtPr>
    <w:sdtContent>
      <w:p>
        <w:pPr>
          <w:pStyle w:val="102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10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6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 w:ascii="Arial" w:hAnsi="Arial" w:cs="Arial" w:eastAsiaTheme="minorEastAsia"/>
        <w:color w:val="0070c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  <w:rPr>
        <w:rFonts w:hint="default" w:ascii="Arial" w:hAnsi="Arial" w:cs="Arial" w:eastAsiaTheme="minorEastAsia"/>
        <w:color w:val="0070c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 w:ascii="Arial" w:hAnsi="Arial" w:cs="Arial" w:eastAsiaTheme="minorEastAsia"/>
        <w:color w:val="0070c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 w:ascii="Arial" w:hAnsi="Arial" w:cs="Arial" w:eastAsiaTheme="minorEastAsia"/>
        <w:color w:val="0070c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 w:ascii="Arial" w:hAnsi="Arial" w:cs="Arial" w:eastAsiaTheme="minorEastAsia"/>
        <w:color w:val="0070c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 w:ascii="Arial" w:hAnsi="Arial" w:cs="Arial" w:eastAsiaTheme="minorEastAsia"/>
        <w:color w:val="0070c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  <w:rPr>
        <w:rFonts w:hint="default" w:ascii="Arial" w:hAnsi="Arial" w:cs="Arial" w:eastAsiaTheme="minorEastAsia"/>
        <w:color w:val="0070c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 w:ascii="Arial" w:hAnsi="Arial" w:cs="Arial" w:eastAsiaTheme="minorEastAsia"/>
        <w:color w:val="0070c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  <w:rPr>
        <w:rFonts w:hint="default" w:ascii="Arial" w:hAnsi="Arial" w:cs="Arial" w:eastAsiaTheme="minorEastAsia"/>
        <w:color w:val="0070c0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7"/>
  </w:num>
  <w:num w:numId="3">
    <w:abstractNumId w:val="0"/>
  </w:num>
  <w:num w:numId="4">
    <w:abstractNumId w:val="1"/>
  </w:num>
  <w:num w:numId="5">
    <w:abstractNumId w:val="13"/>
  </w:num>
  <w:num w:numId="6">
    <w:abstractNumId w:val="39"/>
  </w:num>
  <w:num w:numId="7">
    <w:abstractNumId w:val="8"/>
  </w:num>
  <w:num w:numId="8">
    <w:abstractNumId w:val="32"/>
  </w:num>
  <w:num w:numId="9">
    <w:abstractNumId w:val="35"/>
  </w:num>
  <w:num w:numId="10">
    <w:abstractNumId w:val="9"/>
  </w:num>
  <w:num w:numId="11">
    <w:abstractNumId w:val="31"/>
  </w:num>
  <w:num w:numId="12">
    <w:abstractNumId w:val="24"/>
  </w:num>
  <w:num w:numId="13">
    <w:abstractNumId w:val="3"/>
  </w:num>
  <w:num w:numId="14">
    <w:abstractNumId w:val="48"/>
  </w:num>
  <w:num w:numId="15">
    <w:abstractNumId w:val="15"/>
  </w:num>
  <w:num w:numId="16">
    <w:abstractNumId w:val="2"/>
  </w:num>
  <w:num w:numId="17">
    <w:abstractNumId w:val="11"/>
  </w:num>
  <w:num w:numId="18">
    <w:abstractNumId w:val="17"/>
  </w:num>
  <w:num w:numId="19">
    <w:abstractNumId w:val="30"/>
  </w:num>
  <w:num w:numId="20">
    <w:abstractNumId w:val="7"/>
  </w:num>
  <w:num w:numId="21">
    <w:abstractNumId w:val="49"/>
  </w:num>
  <w:num w:numId="22">
    <w:abstractNumId w:val="20"/>
  </w:num>
  <w:num w:numId="23">
    <w:abstractNumId w:val="23"/>
  </w:num>
  <w:num w:numId="24">
    <w:abstractNumId w:val="19"/>
  </w:num>
  <w:num w:numId="25">
    <w:abstractNumId w:val="38"/>
  </w:num>
  <w:num w:numId="26">
    <w:abstractNumId w:val="42"/>
  </w:num>
  <w:num w:numId="27">
    <w:abstractNumId w:val="25"/>
  </w:num>
  <w:num w:numId="28">
    <w:abstractNumId w:val="41"/>
  </w:num>
  <w:num w:numId="29">
    <w:abstractNumId w:val="4"/>
  </w:num>
  <w:num w:numId="30">
    <w:abstractNumId w:val="28"/>
  </w:num>
  <w:num w:numId="31">
    <w:abstractNumId w:val="18"/>
  </w:num>
  <w:num w:numId="32">
    <w:abstractNumId w:val="14"/>
  </w:num>
  <w:num w:numId="33">
    <w:abstractNumId w:val="6"/>
  </w:num>
  <w:num w:numId="34">
    <w:abstractNumId w:val="22"/>
  </w:num>
  <w:num w:numId="35">
    <w:abstractNumId w:val="29"/>
  </w:num>
  <w:num w:numId="36">
    <w:abstractNumId w:val="45"/>
  </w:num>
  <w:num w:numId="37">
    <w:abstractNumId w:val="5"/>
  </w:num>
  <w:num w:numId="38">
    <w:abstractNumId w:val="46"/>
  </w:num>
  <w:num w:numId="39">
    <w:abstractNumId w:val="33"/>
  </w:num>
  <w:num w:numId="40">
    <w:abstractNumId w:val="37"/>
  </w:num>
  <w:num w:numId="41">
    <w:abstractNumId w:val="44"/>
  </w:num>
  <w:num w:numId="42">
    <w:abstractNumId w:val="27"/>
  </w:num>
  <w:num w:numId="43">
    <w:abstractNumId w:val="26"/>
  </w:num>
  <w:num w:numId="44">
    <w:abstractNumId w:val="16"/>
  </w:num>
  <w:num w:numId="45">
    <w:abstractNumId w:val="43"/>
  </w:num>
  <w:num w:numId="46">
    <w:abstractNumId w:val="36"/>
  </w:num>
  <w:num w:numId="47">
    <w:abstractNumId w:val="10"/>
  </w:num>
  <w:num w:numId="48">
    <w:abstractNumId w:val="40"/>
  </w:num>
  <w:num w:numId="49">
    <w:abstractNumId w:val="1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6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paragraph" w:styleId="797">
    <w:name w:val="Heading 1"/>
    <w:basedOn w:val="796"/>
    <w:next w:val="796"/>
    <w:link w:val="8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796"/>
    <w:next w:val="796"/>
    <w:link w:val="8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next w:val="796"/>
    <w:link w:val="8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next w:val="796"/>
    <w:link w:val="8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next w:val="796"/>
    <w:link w:val="8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next w:val="796"/>
    <w:link w:val="8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03">
    <w:name w:val="Heading 7"/>
    <w:basedOn w:val="796"/>
    <w:next w:val="796"/>
    <w:link w:val="8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4">
    <w:name w:val="Heading 8"/>
    <w:basedOn w:val="796"/>
    <w:next w:val="796"/>
    <w:link w:val="8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5">
    <w:name w:val="Heading 9"/>
    <w:basedOn w:val="796"/>
    <w:next w:val="796"/>
    <w:link w:val="8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</w:style>
  <w:style w:type="table" w:styleId="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8" w:default="1">
    <w:name w:val="No List"/>
    <w:uiPriority w:val="99"/>
    <w:semiHidden/>
    <w:unhideWhenUsed/>
  </w:style>
  <w:style w:type="table" w:styleId="809">
    <w:name w:val="Plain Table 1"/>
    <w:basedOn w:val="8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8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5 Dark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>
    <w:name w:val="Grid Table 7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>
    <w:name w:val="List Table 7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28" w:customStyle="1">
    <w:name w:val="Caption Char"/>
    <w:basedOn w:val="806"/>
    <w:uiPriority w:val="35"/>
    <w:rPr>
      <w:b/>
      <w:bCs/>
      <w:color w:val="5b9bd5" w:themeColor="accent1"/>
      <w:sz w:val="18"/>
      <w:szCs w:val="18"/>
    </w:rPr>
  </w:style>
  <w:style w:type="table" w:styleId="829" w:customStyle="1">
    <w:name w:val="Таблица простая 11"/>
    <w:basedOn w:val="8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 w:customStyle="1">
    <w:name w:val="Таблица простая 21"/>
    <w:basedOn w:val="8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Таблица простая 3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 w:customStyle="1">
    <w:name w:val="Таблица простая 4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 простая 5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1 светл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-сетка 2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Таблица-сетка 3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Таблица-сетка 5 тем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Таблица-сетка 6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Таблица-сетка 7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Список-таблица 1 светлая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2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Список-таблица 3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4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5 тем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Список-таблица 7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48" w:customStyle="1">
    <w:name w:val="Heading 1 Char"/>
    <w:basedOn w:val="806"/>
    <w:uiPriority w:val="9"/>
    <w:rPr>
      <w:rFonts w:ascii="Arial" w:hAnsi="Arial" w:eastAsia="Arial" w:cs="Arial"/>
      <w:sz w:val="40"/>
      <w:szCs w:val="40"/>
    </w:rPr>
  </w:style>
  <w:style w:type="character" w:styleId="849" w:customStyle="1">
    <w:name w:val="Heading 2 Char"/>
    <w:basedOn w:val="806"/>
    <w:uiPriority w:val="9"/>
    <w:rPr>
      <w:rFonts w:ascii="Arial" w:hAnsi="Arial" w:eastAsia="Arial" w:cs="Arial"/>
      <w:sz w:val="34"/>
    </w:rPr>
  </w:style>
  <w:style w:type="character" w:styleId="850" w:customStyle="1">
    <w:name w:val="Heading 3 Char"/>
    <w:basedOn w:val="806"/>
    <w:uiPriority w:val="9"/>
    <w:rPr>
      <w:rFonts w:ascii="Arial" w:hAnsi="Arial" w:eastAsia="Arial" w:cs="Arial"/>
      <w:sz w:val="30"/>
      <w:szCs w:val="30"/>
    </w:rPr>
  </w:style>
  <w:style w:type="character" w:styleId="851" w:customStyle="1">
    <w:name w:val="Heading 4 Char"/>
    <w:basedOn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Heading 5 Char"/>
    <w:basedOn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Heading 6 Char"/>
    <w:basedOn w:val="806"/>
    <w:uiPriority w:val="9"/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Heading 7 Char"/>
    <w:basedOn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Heading 8 Char"/>
    <w:basedOn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Heading 9 Char"/>
    <w:basedOn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Title Char"/>
    <w:basedOn w:val="806"/>
    <w:uiPriority w:val="10"/>
    <w:rPr>
      <w:sz w:val="48"/>
      <w:szCs w:val="48"/>
    </w:rPr>
  </w:style>
  <w:style w:type="character" w:styleId="858" w:customStyle="1">
    <w:name w:val="Subtitle Char"/>
    <w:basedOn w:val="806"/>
    <w:uiPriority w:val="11"/>
    <w:rPr>
      <w:sz w:val="24"/>
      <w:szCs w:val="24"/>
    </w:rPr>
  </w:style>
  <w:style w:type="character" w:styleId="859" w:customStyle="1">
    <w:name w:val="Quote Char"/>
    <w:uiPriority w:val="29"/>
    <w:rPr>
      <w:i/>
    </w:rPr>
  </w:style>
  <w:style w:type="character" w:styleId="860" w:customStyle="1">
    <w:name w:val="Intense Quote Char"/>
    <w:uiPriority w:val="30"/>
    <w:rPr>
      <w:i/>
    </w:rPr>
  </w:style>
  <w:style w:type="character" w:styleId="861" w:customStyle="1">
    <w:name w:val="Endnote Text Char"/>
    <w:uiPriority w:val="99"/>
    <w:rPr>
      <w:sz w:val="20"/>
    </w:rPr>
  </w:style>
  <w:style w:type="character" w:styleId="862" w:customStyle="1">
    <w:name w:val="Заголовок 1 Знак"/>
    <w:basedOn w:val="806"/>
    <w:link w:val="797"/>
    <w:uiPriority w:val="9"/>
    <w:rPr>
      <w:rFonts w:ascii="Arial" w:hAnsi="Arial" w:eastAsia="Arial" w:cs="Arial"/>
      <w:sz w:val="40"/>
      <w:szCs w:val="40"/>
    </w:rPr>
  </w:style>
  <w:style w:type="character" w:styleId="863" w:customStyle="1">
    <w:name w:val="Заголовок 2 Знак"/>
    <w:basedOn w:val="806"/>
    <w:link w:val="798"/>
    <w:uiPriority w:val="9"/>
    <w:rPr>
      <w:rFonts w:ascii="Arial" w:hAnsi="Arial" w:eastAsia="Arial" w:cs="Arial"/>
      <w:sz w:val="34"/>
    </w:rPr>
  </w:style>
  <w:style w:type="character" w:styleId="864" w:customStyle="1">
    <w:name w:val="Заголовок 3 Знак"/>
    <w:basedOn w:val="806"/>
    <w:link w:val="799"/>
    <w:uiPriority w:val="9"/>
    <w:rPr>
      <w:rFonts w:ascii="Arial" w:hAnsi="Arial" w:eastAsia="Arial" w:cs="Arial"/>
      <w:sz w:val="30"/>
      <w:szCs w:val="30"/>
    </w:rPr>
  </w:style>
  <w:style w:type="character" w:styleId="865" w:customStyle="1">
    <w:name w:val="Заголовок 4 Знак"/>
    <w:basedOn w:val="806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866" w:customStyle="1">
    <w:name w:val="Заголовок 5 Знак"/>
    <w:basedOn w:val="806"/>
    <w:link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867" w:customStyle="1">
    <w:name w:val="Заголовок 6 Знак"/>
    <w:basedOn w:val="806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68" w:customStyle="1">
    <w:name w:val="Заголовок 7 Знак"/>
    <w:basedOn w:val="806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9" w:customStyle="1">
    <w:name w:val="Заголовок 8 Знак"/>
    <w:basedOn w:val="806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870" w:customStyle="1">
    <w:name w:val="Заголовок 9 Знак"/>
    <w:basedOn w:val="806"/>
    <w:link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71">
    <w:name w:val="No Spacing"/>
    <w:uiPriority w:val="1"/>
    <w:qFormat/>
    <w:pPr>
      <w:spacing w:after="0" w:line="240" w:lineRule="auto"/>
    </w:pPr>
  </w:style>
  <w:style w:type="paragraph" w:styleId="872">
    <w:name w:val="Title"/>
    <w:basedOn w:val="796"/>
    <w:next w:val="796"/>
    <w:link w:val="8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3" w:customStyle="1">
    <w:name w:val="Заголовок Знак"/>
    <w:basedOn w:val="806"/>
    <w:link w:val="872"/>
    <w:uiPriority w:val="10"/>
    <w:rPr>
      <w:sz w:val="48"/>
      <w:szCs w:val="48"/>
    </w:rPr>
  </w:style>
  <w:style w:type="paragraph" w:styleId="874">
    <w:name w:val="Subtitle"/>
    <w:basedOn w:val="796"/>
    <w:next w:val="796"/>
    <w:link w:val="875"/>
    <w:uiPriority w:val="11"/>
    <w:qFormat/>
    <w:pPr>
      <w:spacing w:before="200" w:after="200"/>
    </w:pPr>
    <w:rPr>
      <w:sz w:val="24"/>
      <w:szCs w:val="24"/>
    </w:rPr>
  </w:style>
  <w:style w:type="character" w:styleId="875" w:customStyle="1">
    <w:name w:val="Подзаголовок Знак"/>
    <w:basedOn w:val="806"/>
    <w:link w:val="874"/>
    <w:uiPriority w:val="11"/>
    <w:rPr>
      <w:sz w:val="24"/>
      <w:szCs w:val="24"/>
    </w:rPr>
  </w:style>
  <w:style w:type="paragraph" w:styleId="876">
    <w:name w:val="Quote"/>
    <w:basedOn w:val="796"/>
    <w:next w:val="796"/>
    <w:link w:val="877"/>
    <w:uiPriority w:val="29"/>
    <w:qFormat/>
    <w:pPr>
      <w:ind w:left="720" w:right="720"/>
    </w:pPr>
    <w:rPr>
      <w:i/>
    </w:rPr>
  </w:style>
  <w:style w:type="character" w:styleId="877" w:customStyle="1">
    <w:name w:val="Цитата 2 Знак"/>
    <w:link w:val="876"/>
    <w:uiPriority w:val="29"/>
    <w:rPr>
      <w:i/>
    </w:rPr>
  </w:style>
  <w:style w:type="paragraph" w:styleId="878">
    <w:name w:val="Intense Quote"/>
    <w:basedOn w:val="796"/>
    <w:next w:val="796"/>
    <w:link w:val="8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9" w:customStyle="1">
    <w:name w:val="Выделенная цитата Знак"/>
    <w:link w:val="878"/>
    <w:uiPriority w:val="30"/>
    <w:rPr>
      <w:i/>
    </w:rPr>
  </w:style>
  <w:style w:type="character" w:styleId="880" w:customStyle="1">
    <w:name w:val="Header Char"/>
    <w:basedOn w:val="806"/>
    <w:uiPriority w:val="99"/>
  </w:style>
  <w:style w:type="character" w:styleId="881" w:customStyle="1">
    <w:name w:val="Footer Char"/>
    <w:basedOn w:val="806"/>
    <w:uiPriority w:val="99"/>
  </w:style>
  <w:style w:type="paragraph" w:styleId="882">
    <w:name w:val="Caption"/>
    <w:basedOn w:val="796"/>
    <w:next w:val="796"/>
    <w:link w:val="88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83" w:customStyle="1">
    <w:name w:val="Название объекта Знак"/>
    <w:link w:val="882"/>
    <w:uiPriority w:val="99"/>
  </w:style>
  <w:style w:type="table" w:styleId="884" w:customStyle="1">
    <w:name w:val="Table Grid Light"/>
    <w:basedOn w:val="8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5" w:customStyle="1">
    <w:name w:val="Таблица простая 11"/>
    <w:basedOn w:val="8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6" w:customStyle="1">
    <w:name w:val="Таблица простая 21"/>
    <w:basedOn w:val="8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 w:customStyle="1">
    <w:name w:val="Таблица простая 3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8" w:customStyle="1">
    <w:name w:val="Таблица простая 4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Таблица простая 5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0" w:customStyle="1">
    <w:name w:val="Таблица-сетка 1 светл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Grid Table 1 Light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Таблица-сетка 2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Таблица-сетка 3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Таблица-сетка 41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2" w:customStyle="1">
    <w:name w:val="Grid Table 4 - Accent 1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13" w:customStyle="1">
    <w:name w:val="Grid Table 4 - Accent 2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Grid Table 4 - Accent 3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15" w:customStyle="1">
    <w:name w:val="Grid Table 4 - Accent 4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Grid Table 4 - Accent 5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17" w:customStyle="1">
    <w:name w:val="Grid Table 4 - Accent 6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18" w:customStyle="1">
    <w:name w:val="Таблица-сетка 5 тем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25" w:customStyle="1">
    <w:name w:val="Таблица-сетка 6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6" w:customStyle="1">
    <w:name w:val="Grid Table 6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27" w:customStyle="1">
    <w:name w:val="Grid Table 6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28" w:customStyle="1">
    <w:name w:val="Grid Table 6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9" w:customStyle="1">
    <w:name w:val="Grid Table 6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0" w:customStyle="1">
    <w:name w:val="Grid Table 6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1" w:customStyle="1">
    <w:name w:val="Grid Table 6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2" w:customStyle="1">
    <w:name w:val="Таблица-сетка 7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Grid Table 7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Grid Table 7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Grid Table 7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Grid Table 7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Grid Table 7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Grid Table 7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Список-таблица 1 светлая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2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3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4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5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6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Список-таблица 2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7" w:customStyle="1">
    <w:name w:val="List Table 2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48" w:customStyle="1">
    <w:name w:val="List Table 2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53" w:customStyle="1">
    <w:name w:val="Список-таблица 3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3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Список-таблица 4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Список-таблица 5 тем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8" w:customStyle="1">
    <w:name w:val="List Table 5 Dark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Список-таблица 6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5" w:customStyle="1">
    <w:name w:val="List Table 6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76" w:customStyle="1">
    <w:name w:val="List Table 6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77" w:customStyle="1">
    <w:name w:val="List Table 6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78" w:customStyle="1">
    <w:name w:val="List Table 6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79" w:customStyle="1">
    <w:name w:val="List Table 6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80" w:customStyle="1">
    <w:name w:val="List Table 6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81" w:customStyle="1">
    <w:name w:val="Список-таблица 7 цветная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2" w:customStyle="1">
    <w:name w:val="List Table 7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3" w:customStyle="1">
    <w:name w:val="List Table 7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4" w:customStyle="1">
    <w:name w:val="List Table 7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5" w:customStyle="1">
    <w:name w:val="List Table 7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6" w:customStyle="1">
    <w:name w:val="List Table 7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7" w:customStyle="1">
    <w:name w:val="List Table 7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8" w:customStyle="1">
    <w:name w:val="Lined - Accent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9" w:customStyle="1">
    <w:name w:val="Lined - Accent 1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0" w:customStyle="1">
    <w:name w:val="Lined - Accent 2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1" w:customStyle="1">
    <w:name w:val="Lined - Accent 3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2" w:customStyle="1">
    <w:name w:val="Lined - Accent 4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93" w:customStyle="1">
    <w:name w:val="Lined - Accent 5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94" w:customStyle="1">
    <w:name w:val="Lined - Accent 6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95" w:customStyle="1">
    <w:name w:val="Bordered &amp; Lined - Accent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6" w:customStyle="1">
    <w:name w:val="Bordered &amp; Lined - Accent 1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7" w:customStyle="1">
    <w:name w:val="Bordered &amp; Lined - Accent 2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8" w:customStyle="1">
    <w:name w:val="Bordered &amp; Lined - Accent 3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9" w:customStyle="1">
    <w:name w:val="Bordered &amp; Lined - Accent 4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0" w:customStyle="1">
    <w:name w:val="Bordered &amp; Lined - Accent 5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1" w:customStyle="1">
    <w:name w:val="Bordered &amp; Lined - Accent 6"/>
    <w:basedOn w:val="8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2" w:customStyle="1">
    <w:name w:val="Bordered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3" w:customStyle="1">
    <w:name w:val="Bordered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04" w:customStyle="1">
    <w:name w:val="Bordered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05" w:customStyle="1">
    <w:name w:val="Bordered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06" w:customStyle="1">
    <w:name w:val="Bordered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07" w:customStyle="1">
    <w:name w:val="Bordered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08" w:customStyle="1">
    <w:name w:val="Bordered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09">
    <w:name w:val="Hyperlink"/>
    <w:uiPriority w:val="99"/>
    <w:unhideWhenUsed/>
    <w:rPr>
      <w:color w:val="0563c1" w:themeColor="hyperlink"/>
      <w:u w:val="single"/>
    </w:rPr>
  </w:style>
  <w:style w:type="character" w:styleId="1010" w:customStyle="1">
    <w:name w:val="Footnote Text Char"/>
    <w:uiPriority w:val="99"/>
    <w:rPr>
      <w:sz w:val="18"/>
    </w:rPr>
  </w:style>
  <w:style w:type="paragraph" w:styleId="1011">
    <w:name w:val="endnote text"/>
    <w:basedOn w:val="796"/>
    <w:link w:val="1012"/>
    <w:uiPriority w:val="99"/>
    <w:semiHidden/>
    <w:unhideWhenUsed/>
    <w:rPr>
      <w:sz w:val="20"/>
    </w:rPr>
  </w:style>
  <w:style w:type="character" w:styleId="1012" w:customStyle="1">
    <w:name w:val="Текст концевой сноски Знак"/>
    <w:link w:val="1011"/>
    <w:uiPriority w:val="99"/>
    <w:rPr>
      <w:sz w:val="20"/>
    </w:rPr>
  </w:style>
  <w:style w:type="character" w:styleId="1013">
    <w:name w:val="endnote reference"/>
    <w:basedOn w:val="806"/>
    <w:uiPriority w:val="99"/>
    <w:semiHidden/>
    <w:unhideWhenUsed/>
    <w:rPr>
      <w:vertAlign w:val="superscript"/>
    </w:rPr>
  </w:style>
  <w:style w:type="paragraph" w:styleId="1014">
    <w:name w:val="toc 1"/>
    <w:basedOn w:val="796"/>
    <w:next w:val="796"/>
    <w:uiPriority w:val="39"/>
    <w:unhideWhenUsed/>
    <w:pPr>
      <w:spacing w:after="57"/>
    </w:pPr>
  </w:style>
  <w:style w:type="paragraph" w:styleId="1015">
    <w:name w:val="toc 2"/>
    <w:basedOn w:val="796"/>
    <w:next w:val="796"/>
    <w:uiPriority w:val="39"/>
    <w:unhideWhenUsed/>
    <w:pPr>
      <w:ind w:left="283"/>
      <w:spacing w:after="57"/>
    </w:pPr>
  </w:style>
  <w:style w:type="paragraph" w:styleId="1016">
    <w:name w:val="toc 3"/>
    <w:basedOn w:val="796"/>
    <w:next w:val="796"/>
    <w:uiPriority w:val="39"/>
    <w:unhideWhenUsed/>
    <w:pPr>
      <w:ind w:left="567"/>
      <w:spacing w:after="57"/>
    </w:pPr>
  </w:style>
  <w:style w:type="paragraph" w:styleId="1017">
    <w:name w:val="toc 4"/>
    <w:basedOn w:val="796"/>
    <w:next w:val="796"/>
    <w:uiPriority w:val="39"/>
    <w:unhideWhenUsed/>
    <w:pPr>
      <w:ind w:left="850"/>
      <w:spacing w:after="57"/>
    </w:pPr>
  </w:style>
  <w:style w:type="paragraph" w:styleId="1018">
    <w:name w:val="toc 5"/>
    <w:basedOn w:val="796"/>
    <w:next w:val="796"/>
    <w:uiPriority w:val="39"/>
    <w:unhideWhenUsed/>
    <w:pPr>
      <w:ind w:left="1134"/>
      <w:spacing w:after="57"/>
    </w:pPr>
  </w:style>
  <w:style w:type="paragraph" w:styleId="1019">
    <w:name w:val="toc 6"/>
    <w:basedOn w:val="796"/>
    <w:next w:val="796"/>
    <w:uiPriority w:val="39"/>
    <w:unhideWhenUsed/>
    <w:pPr>
      <w:ind w:left="1417"/>
      <w:spacing w:after="57"/>
    </w:pPr>
  </w:style>
  <w:style w:type="paragraph" w:styleId="1020">
    <w:name w:val="toc 7"/>
    <w:basedOn w:val="796"/>
    <w:next w:val="796"/>
    <w:uiPriority w:val="39"/>
    <w:unhideWhenUsed/>
    <w:pPr>
      <w:ind w:left="1701"/>
      <w:spacing w:after="57"/>
    </w:pPr>
  </w:style>
  <w:style w:type="paragraph" w:styleId="1021">
    <w:name w:val="toc 8"/>
    <w:basedOn w:val="796"/>
    <w:next w:val="796"/>
    <w:uiPriority w:val="39"/>
    <w:unhideWhenUsed/>
    <w:pPr>
      <w:ind w:left="1984"/>
      <w:spacing w:after="57"/>
    </w:pPr>
  </w:style>
  <w:style w:type="paragraph" w:styleId="1022">
    <w:name w:val="toc 9"/>
    <w:basedOn w:val="796"/>
    <w:next w:val="796"/>
    <w:uiPriority w:val="39"/>
    <w:unhideWhenUsed/>
    <w:pPr>
      <w:ind w:left="2268"/>
      <w:spacing w:after="57"/>
    </w:pPr>
  </w:style>
  <w:style w:type="paragraph" w:styleId="1023">
    <w:name w:val="TOC Heading"/>
    <w:uiPriority w:val="39"/>
    <w:unhideWhenUsed/>
  </w:style>
  <w:style w:type="paragraph" w:styleId="1024">
    <w:name w:val="table of figures"/>
    <w:basedOn w:val="796"/>
    <w:next w:val="796"/>
    <w:uiPriority w:val="99"/>
    <w:unhideWhenUsed/>
  </w:style>
  <w:style w:type="paragraph" w:styleId="1025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1026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027">
    <w:name w:val="Header"/>
    <w:basedOn w:val="796"/>
    <w:link w:val="10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8" w:customStyle="1">
    <w:name w:val="Верхний колонтитул Знак"/>
    <w:basedOn w:val="806"/>
    <w:link w:val="1027"/>
    <w:uiPriority w:val="99"/>
    <w:rPr>
      <w:rFonts w:eastAsiaTheme="minorEastAsia"/>
      <w:lang w:eastAsia="ru-RU"/>
    </w:rPr>
  </w:style>
  <w:style w:type="paragraph" w:styleId="1029">
    <w:name w:val="Footer"/>
    <w:basedOn w:val="796"/>
    <w:link w:val="10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0" w:customStyle="1">
    <w:name w:val="Нижний колонтитул Знак"/>
    <w:basedOn w:val="806"/>
    <w:link w:val="1029"/>
    <w:uiPriority w:val="99"/>
    <w:rPr>
      <w:rFonts w:eastAsiaTheme="minorEastAsia"/>
      <w:lang w:eastAsia="ru-RU"/>
    </w:rPr>
  </w:style>
  <w:style w:type="paragraph" w:styleId="1031">
    <w:name w:val="List Paragraph"/>
    <w:basedOn w:val="796"/>
    <w:uiPriority w:val="34"/>
    <w:qFormat/>
    <w:pPr>
      <w:contextualSpacing/>
      <w:ind w:left="720"/>
    </w:pPr>
  </w:style>
  <w:style w:type="character" w:styleId="1032">
    <w:name w:val="Placeholder Text"/>
    <w:basedOn w:val="806"/>
    <w:uiPriority w:val="99"/>
    <w:semiHidden/>
    <w:rPr>
      <w:color w:val="808080"/>
    </w:rPr>
  </w:style>
  <w:style w:type="paragraph" w:styleId="1033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table" w:styleId="1034">
    <w:name w:val="Table Grid"/>
    <w:basedOn w:val="80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5" w:customStyle="1">
    <w:name w:val="Default"/>
    <w:pPr>
      <w:spacing w:after="0" w:line="240" w:lineRule="auto"/>
    </w:pPr>
    <w:rPr>
      <w:rFonts w:ascii="Times New Roman" w:hAnsi="Times New Roman" w:eastAsia="Microsoft Sans Serif" w:cs="Times New Roman"/>
      <w:color w:val="000000"/>
      <w:sz w:val="24"/>
      <w:szCs w:val="24"/>
      <w:lang w:eastAsia="ru-RU"/>
    </w:rPr>
  </w:style>
  <w:style w:type="paragraph" w:styleId="1036">
    <w:name w:val="footnote text"/>
    <w:basedOn w:val="796"/>
    <w:link w:val="1037"/>
    <w:uiPriority w:val="99"/>
    <w:semiHidden/>
    <w:unhideWhenUsed/>
    <w:rPr>
      <w:sz w:val="20"/>
      <w:szCs w:val="20"/>
    </w:rPr>
  </w:style>
  <w:style w:type="character" w:styleId="1037" w:customStyle="1">
    <w:name w:val="Текст сноски Знак"/>
    <w:basedOn w:val="806"/>
    <w:link w:val="1036"/>
    <w:uiPriority w:val="99"/>
    <w:semiHidden/>
    <w:rPr>
      <w:rFonts w:eastAsiaTheme="minorEastAsia"/>
      <w:sz w:val="20"/>
      <w:szCs w:val="20"/>
      <w:lang w:eastAsia="ru-RU"/>
    </w:rPr>
  </w:style>
  <w:style w:type="character" w:styleId="1038">
    <w:name w:val="footnote reference"/>
    <w:basedOn w:val="806"/>
    <w:uiPriority w:val="99"/>
    <w:semiHidden/>
    <w:unhideWhenUsed/>
    <w:rPr>
      <w:vertAlign w:val="superscript"/>
    </w:rPr>
  </w:style>
  <w:style w:type="character" w:styleId="1039">
    <w:name w:val="annotation reference"/>
    <w:basedOn w:val="806"/>
    <w:uiPriority w:val="99"/>
    <w:semiHidden/>
    <w:unhideWhenUsed/>
    <w:rPr>
      <w:sz w:val="16"/>
      <w:szCs w:val="16"/>
    </w:rPr>
  </w:style>
  <w:style w:type="paragraph" w:styleId="1040">
    <w:name w:val="annotation text"/>
    <w:basedOn w:val="796"/>
    <w:link w:val="1041"/>
    <w:uiPriority w:val="99"/>
    <w:unhideWhenUsed/>
    <w:rPr>
      <w:sz w:val="20"/>
      <w:szCs w:val="20"/>
    </w:rPr>
  </w:style>
  <w:style w:type="character" w:styleId="1041" w:customStyle="1">
    <w:name w:val="Текст примечания Знак"/>
    <w:basedOn w:val="806"/>
    <w:link w:val="1040"/>
    <w:uiPriority w:val="99"/>
    <w:rPr>
      <w:rFonts w:eastAsiaTheme="minorEastAsia"/>
      <w:sz w:val="20"/>
      <w:szCs w:val="20"/>
      <w:lang w:eastAsia="ru-RU"/>
    </w:rPr>
  </w:style>
  <w:style w:type="paragraph" w:styleId="1042">
    <w:name w:val="annotation subject"/>
    <w:basedOn w:val="1040"/>
    <w:next w:val="1040"/>
    <w:link w:val="1043"/>
    <w:uiPriority w:val="99"/>
    <w:semiHidden/>
    <w:unhideWhenUsed/>
    <w:rPr>
      <w:b/>
      <w:bCs/>
    </w:rPr>
  </w:style>
  <w:style w:type="character" w:styleId="1043" w:customStyle="1">
    <w:name w:val="Тема примечания Знак"/>
    <w:basedOn w:val="1041"/>
    <w:link w:val="1042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1044">
    <w:name w:val="Balloon Text"/>
    <w:basedOn w:val="796"/>
    <w:link w:val="10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5" w:customStyle="1">
    <w:name w:val="Текст выноски Знак"/>
    <w:basedOn w:val="806"/>
    <w:link w:val="1044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table" w:styleId="1046" w:customStyle="1">
    <w:name w:val="Сетка таблицы1"/>
    <w:basedOn w:val="807"/>
    <w:next w:val="10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7">
    <w:name w:val="Revision"/>
    <w:hidden/>
    <w:uiPriority w:val="99"/>
    <w:semiHidden/>
    <w:pPr>
      <w:spacing w:after="0" w:line="240" w:lineRule="auto"/>
    </w:pPr>
    <w:rPr>
      <w:rFonts w:eastAsiaTheme="minorEastAsia"/>
      <w:lang w:eastAsia="ru-RU"/>
    </w:rPr>
  </w:style>
  <w:style w:type="paragraph" w:styleId="1048">
    <w:name w:val="Normal (Web)"/>
    <w:basedOn w:val="79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1049">
    <w:name w:val="FollowedHyperlink"/>
    <w:basedOn w:val="806"/>
    <w:uiPriority w:val="99"/>
    <w:semiHidden/>
    <w:unhideWhenUsed/>
    <w:rPr>
      <w:color w:val="954f72"/>
      <w:u w:val="single"/>
    </w:rPr>
  </w:style>
  <w:style w:type="paragraph" w:styleId="1050" w:customStyle="1">
    <w:name w:val="msonormal"/>
    <w:basedOn w:val="79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51" w:customStyle="1">
    <w:name w:val="xl64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2" w:customStyle="1">
    <w:name w:val="xl65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3" w:customStyle="1">
    <w:name w:val="xl66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4" w:customStyle="1">
    <w:name w:val="xl67"/>
    <w:basedOn w:val="796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55" w:customStyle="1">
    <w:name w:val="xl68"/>
    <w:basedOn w:val="796"/>
    <w:pPr>
      <w:jc w:val="center"/>
      <w:spacing w:before="100" w:beforeAutospacing="1" w:after="100" w:afterAutospacing="1"/>
      <w:shd w:val="clear" w:color="d6dce4" w:fill="d6d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6" w:customStyle="1">
    <w:name w:val="xl69"/>
    <w:basedOn w:val="796"/>
    <w:pPr>
      <w:jc w:val="center"/>
      <w:spacing w:before="100" w:beforeAutospacing="1" w:after="100" w:afterAutospacing="1"/>
      <w:shd w:val="clear" w:color="d6dce4" w:fill="d6d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7" w:customStyle="1">
    <w:name w:val="xl70"/>
    <w:basedOn w:val="796"/>
    <w:pPr>
      <w:jc w:val="center"/>
      <w:spacing w:before="100" w:beforeAutospacing="1" w:after="100" w:afterAutospacing="1"/>
      <w:shd w:val="clear" w:color="d6dce4" w:fill="d6dce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8" w:customStyle="1">
    <w:name w:val="xl71"/>
    <w:basedOn w:val="7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59" w:customStyle="1">
    <w:name w:val="xl72"/>
    <w:basedOn w:val="7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0" w:customStyle="1">
    <w:name w:val="xl73"/>
    <w:basedOn w:val="7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1" w:customStyle="1">
    <w:name w:val="xl74"/>
    <w:basedOn w:val="7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2" w:customStyle="1">
    <w:name w:val="xl75"/>
    <w:basedOn w:val="7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3" w:customStyle="1">
    <w:name w:val="xl77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4" w:customStyle="1">
    <w:name w:val="xl78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5" w:customStyle="1">
    <w:name w:val="xl79"/>
    <w:basedOn w:val="796"/>
    <w:pPr>
      <w:jc w:val="center"/>
      <w:spacing w:before="100" w:beforeAutospacing="1" w:after="100" w:afterAutospacing="1"/>
      <w:pBdr>
        <w:top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6" w:customStyle="1">
    <w:name w:val="xl80"/>
    <w:basedOn w:val="79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7" w:customStyle="1">
    <w:name w:val="xl81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8" w:customStyle="1">
    <w:name w:val="xl82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6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69" w:customStyle="1">
    <w:name w:val="xl83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0" w:customStyle="1">
    <w:name w:val="xl84"/>
    <w:basedOn w:val="796"/>
    <w:pPr>
      <w:jc w:val="center"/>
      <w:spacing w:before="100" w:beforeAutospacing="1" w:after="100" w:afterAutospacing="1"/>
      <w:pBdr>
        <w:top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1" w:customStyle="1">
    <w:name w:val="xl85"/>
    <w:basedOn w:val="796"/>
    <w:pPr>
      <w:jc w:val="center"/>
      <w:spacing w:before="100" w:beforeAutospacing="1" w:after="100" w:afterAutospacing="1"/>
      <w:pBdr>
        <w:top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2" w:customStyle="1">
    <w:name w:val="xl86"/>
    <w:basedOn w:val="796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73" w:customStyle="1">
    <w:name w:val="xl87"/>
    <w:basedOn w:val="796"/>
    <w:pPr>
      <w:jc w:val="center"/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4" w:customStyle="1">
    <w:name w:val="xl88"/>
    <w:basedOn w:val="796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5" w:customStyle="1">
    <w:name w:val="xl89"/>
    <w:basedOn w:val="796"/>
    <w:pPr>
      <w:spacing w:before="100" w:beforeAutospacing="1" w:after="100" w:afterAutospacing="1"/>
      <w:pBdr>
        <w:left w:val="single" w:color="000000" w:sz="4" w:space="0"/>
        <w:bottom w:val="single" w:color="000000" w:sz="6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</w:rPr>
  </w:style>
  <w:style w:type="paragraph" w:styleId="1076" w:customStyle="1">
    <w:name w:val="xl90"/>
    <w:basedOn w:val="796"/>
    <w:pPr>
      <w:jc w:val="center"/>
      <w:spacing w:before="100" w:beforeAutospacing="1" w:after="100" w:afterAutospacing="1"/>
      <w:shd w:val="clear" w:color="d6dce4" w:fill="d6dce4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7" w:customStyle="1">
    <w:name w:val="xl91"/>
    <w:basedOn w:val="796"/>
    <w:pPr>
      <w:jc w:val="center"/>
      <w:spacing w:before="100" w:beforeAutospacing="1" w:after="100" w:afterAutospacing="1"/>
      <w:shd w:val="clear" w:color="d6dce4" w:fill="d6dce4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8" w:customStyle="1">
    <w:name w:val="xl92"/>
    <w:basedOn w:val="796"/>
    <w:pPr>
      <w:jc w:val="center"/>
      <w:spacing w:before="100" w:beforeAutospacing="1" w:after="100" w:afterAutospacing="1"/>
      <w:shd w:val="clear" w:color="d6dce4" w:fill="d6dce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9" w:customStyle="1">
    <w:name w:val="xl93"/>
    <w:basedOn w:val="7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0" w:customStyle="1">
    <w:name w:val="xl94"/>
    <w:basedOn w:val="7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1" w:customStyle="1">
    <w:name w:val="xl95"/>
    <w:basedOn w:val="7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2" w:customStyle="1">
    <w:name w:val="xl96"/>
    <w:basedOn w:val="7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3" w:customStyle="1">
    <w:name w:val="xl97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4" w:customStyle="1">
    <w:name w:val="xl98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6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5" w:customStyle="1">
    <w:name w:val="xl99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6" w:customStyle="1">
    <w:name w:val="xl100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7" w:customStyle="1">
    <w:name w:val="xl101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8" w:customStyle="1">
    <w:name w:val="xl102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6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89" w:customStyle="1">
    <w:name w:val="xl103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6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90" w:customStyle="1">
    <w:name w:val="xl104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Calibri" w:hAnsi="Calibri" w:eastAsia="Times New Roman" w:cs="Calibri"/>
      <w:color w:val="ffffff"/>
      <w:sz w:val="24"/>
      <w:szCs w:val="24"/>
    </w:rPr>
  </w:style>
  <w:style w:type="paragraph" w:styleId="1091" w:customStyle="1">
    <w:name w:val="xl105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92" w:customStyle="1">
    <w:name w:val="xl106"/>
    <w:basedOn w:val="7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6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93" w:customStyle="1">
    <w:name w:val="xl107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94" w:customStyle="1">
    <w:name w:val="xl108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95" w:customStyle="1">
    <w:name w:val="xl109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</w:rPr>
  </w:style>
  <w:style w:type="paragraph" w:styleId="1096" w:customStyle="1">
    <w:name w:val="xl110"/>
    <w:basedOn w:val="79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</w:rPr>
  </w:style>
  <w:style w:type="paragraph" w:styleId="1097" w:customStyle="1">
    <w:name w:val="xl111"/>
    <w:basedOn w:val="79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8" w:space="0"/>
      </w:pBdr>
    </w:pPr>
    <w:rPr>
      <w:rFonts w:ascii="Calibri" w:hAnsi="Calibri" w:eastAsia="Times New Roman" w:cs="Calibri"/>
      <w:sz w:val="24"/>
      <w:szCs w:val="24"/>
    </w:rPr>
  </w:style>
  <w:style w:type="paragraph" w:styleId="1098" w:customStyle="1">
    <w:name w:val="xl112"/>
    <w:basedOn w:val="796"/>
    <w:pPr>
      <w:spacing w:before="100" w:beforeAutospacing="1" w:after="100" w:afterAutospacing="1"/>
      <w:pBdr>
        <w:left w:val="single" w:color="000000" w:sz="8" w:space="0"/>
        <w:bottom w:val="single" w:color="000000" w:sz="6" w:space="0"/>
        <w:right w:val="single" w:color="000000" w:sz="4" w:space="0"/>
      </w:pBdr>
    </w:pPr>
    <w:rPr>
      <w:rFonts w:ascii="Calibri" w:hAnsi="Calibri" w:eastAsia="Times New Roman" w:cs="Calibri"/>
      <w:color w:val="ffffff"/>
      <w:sz w:val="24"/>
      <w:szCs w:val="24"/>
    </w:rPr>
  </w:style>
  <w:style w:type="paragraph" w:styleId="1099" w:customStyle="1">
    <w:name w:val="xl113"/>
    <w:basedOn w:val="7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6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100" w:customStyle="1">
    <w:name w:val="xl114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101" w:customStyle="1">
    <w:name w:val="xl115"/>
    <w:basedOn w:val="796"/>
    <w:pPr>
      <w:jc w:val="center"/>
      <w:spacing w:before="100" w:beforeAutospacing="1" w:after="100" w:afterAutospacing="1"/>
      <w:shd w:val="clear" w:color="d6dce4" w:fill="d6dce4"/>
      <w:pBdr>
        <w:left w:val="single" w:color="000000" w:sz="4" w:space="0"/>
        <w:bottom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102" w:customStyle="1">
    <w:name w:val="xl116"/>
    <w:basedOn w:val="7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79553&amp;dst=100158" TargetMode="External"/><Relationship Id="rId12" Type="http://schemas.openxmlformats.org/officeDocument/2006/relationships/hyperlink" Target="https://login.consultant.ru/link/?req=doc&amp;base=LAW&amp;n=479553&amp;dst=100167" TargetMode="External"/><Relationship Id="rId13" Type="http://schemas.openxmlformats.org/officeDocument/2006/relationships/hyperlink" Target="https://login.consultant.ru/link/?req=doc&amp;base=LAW&amp;n=454675&amp;dst=100013" TargetMode="External"/><Relationship Id="rId14" Type="http://schemas.openxmlformats.org/officeDocument/2006/relationships/hyperlink" Target="https://login.consultant.ru/link/?req=doc&amp;base=LAW&amp;n=106840&amp;dst=100011" TargetMode="External"/><Relationship Id="rId15" Type="http://schemas.openxmlformats.org/officeDocument/2006/relationships/hyperlink" Target="https://login.consultant.ru/link/?req=doc&amp;base=LAW&amp;n=454675&amp;dst=100013" TargetMode="External"/><Relationship Id="rId16" Type="http://schemas.openxmlformats.org/officeDocument/2006/relationships/hyperlink" Target="https://login.consultant.ru/link/?req=doc&amp;base=LAW&amp;n=106840&amp;dst=100011" TargetMode="External"/><Relationship Id="rId17" Type="http://schemas.openxmlformats.org/officeDocument/2006/relationships/hyperlink" Target="https://login.consultant.ru/link/?req=doc&amp;base=LAW&amp;n=495169&amp;dst=27" TargetMode="External"/><Relationship Id="rId18" Type="http://schemas.openxmlformats.org/officeDocument/2006/relationships/hyperlink" Target="https://login.consultant.ru/link/?req=doc&amp;base=LAW&amp;n=471328&amp;dst=1000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AD51-9BD1-47E0-9180-F4C9D4B3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Валентин Владимирович</dc:creator>
  <cp:lastModifiedBy>abramova-ov</cp:lastModifiedBy>
  <cp:revision>134</cp:revision>
  <dcterms:created xsi:type="dcterms:W3CDTF">2025-10-07T17:51:00Z</dcterms:created>
  <dcterms:modified xsi:type="dcterms:W3CDTF">2025-11-12T07:31:17Z</dcterms:modified>
</cp:coreProperties>
</file>