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F71C9E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354639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B07B45">
        <w:rPr>
          <w:rFonts w:eastAsiaTheme="minorHAnsi"/>
          <w:b/>
          <w:bCs/>
          <w:sz w:val="28"/>
          <w:szCs w:val="28"/>
          <w:lang w:eastAsia="en-US"/>
        </w:rPr>
        <w:t>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54639">
        <w:rPr>
          <w:rFonts w:eastAsiaTheme="minorHAnsi"/>
          <w:b/>
          <w:bCs/>
          <w:sz w:val="28"/>
          <w:szCs w:val="28"/>
          <w:lang w:eastAsia="en-US"/>
        </w:rPr>
        <w:t>10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C3472" w:rsidRPr="002C3472" w:rsidRDefault="002C3472" w:rsidP="002C3472">
      <w:pPr>
        <w:numPr>
          <w:ilvl w:val="0"/>
          <w:numId w:val="31"/>
        </w:numPr>
        <w:spacing w:after="120"/>
        <w:contextualSpacing/>
        <w:jc w:val="both"/>
        <w:rPr>
          <w:sz w:val="28"/>
          <w:szCs w:val="28"/>
        </w:rPr>
      </w:pPr>
      <w:r w:rsidRPr="002C3472">
        <w:rPr>
          <w:bCs/>
          <w:color w:val="000000"/>
          <w:sz w:val="28"/>
          <w:szCs w:val="28"/>
        </w:rPr>
        <w:t>Об утверждении внутреннего документа в новой редакции: Регламент прохождения платежей АО «Янтарьэнерго».</w:t>
      </w:r>
    </w:p>
    <w:p w:rsidR="002C3472" w:rsidRPr="002C3472" w:rsidRDefault="002C3472" w:rsidP="002C3472">
      <w:pPr>
        <w:numPr>
          <w:ilvl w:val="0"/>
          <w:numId w:val="31"/>
        </w:numPr>
        <w:spacing w:after="120"/>
        <w:contextualSpacing/>
        <w:jc w:val="both"/>
        <w:rPr>
          <w:sz w:val="28"/>
          <w:szCs w:val="28"/>
        </w:rPr>
      </w:pPr>
      <w:r w:rsidRPr="002C3472">
        <w:rPr>
          <w:sz w:val="28"/>
          <w:szCs w:val="28"/>
        </w:rPr>
        <w:t xml:space="preserve">Об утверждении внутреннего документа в новой редакции: Регламент размещения временно свободных денежных средств </w:t>
      </w:r>
      <w:r>
        <w:rPr>
          <w:sz w:val="28"/>
          <w:szCs w:val="28"/>
        </w:rPr>
        <w:t xml:space="preserve">                                                </w:t>
      </w:r>
      <w:r w:rsidRPr="002C3472">
        <w:rPr>
          <w:sz w:val="28"/>
          <w:szCs w:val="28"/>
        </w:rPr>
        <w:t>АО «Янтарьэнерго».</w:t>
      </w:r>
    </w:p>
    <w:p w:rsidR="002C3472" w:rsidRPr="002C3472" w:rsidRDefault="002C3472" w:rsidP="002C3472">
      <w:pPr>
        <w:numPr>
          <w:ilvl w:val="0"/>
          <w:numId w:val="31"/>
        </w:numPr>
        <w:spacing w:after="120"/>
        <w:contextualSpacing/>
        <w:jc w:val="both"/>
        <w:rPr>
          <w:sz w:val="28"/>
          <w:szCs w:val="28"/>
        </w:rPr>
      </w:pPr>
      <w:r w:rsidRPr="002C3472">
        <w:rPr>
          <w:sz w:val="28"/>
          <w:szCs w:val="28"/>
        </w:rPr>
        <w:t>Об утверждении бюджета Комитета по аудиту Совета директоров Общества на 2-е полугодие 2018 года и 1 полугодие 2019 года.</w:t>
      </w:r>
    </w:p>
    <w:p w:rsidR="00A30411" w:rsidRPr="002C3472" w:rsidRDefault="002C3472" w:rsidP="002C3472">
      <w:pPr>
        <w:numPr>
          <w:ilvl w:val="0"/>
          <w:numId w:val="31"/>
        </w:numPr>
        <w:spacing w:after="120"/>
        <w:contextualSpacing/>
        <w:jc w:val="both"/>
        <w:rPr>
          <w:sz w:val="28"/>
          <w:szCs w:val="28"/>
        </w:rPr>
      </w:pPr>
      <w:r w:rsidRPr="002C3472">
        <w:rPr>
          <w:sz w:val="28"/>
          <w:szCs w:val="28"/>
        </w:rPr>
        <w:t>Об утверждении Методических указаний по определению резервов мощности на центрах питания АО «Янтарьэнерго» в новой редакции.</w:t>
      </w:r>
    </w:p>
    <w:p w:rsidR="004101CA" w:rsidRDefault="004101CA" w:rsidP="00CE7D0C">
      <w:pPr>
        <w:shd w:val="clear" w:color="auto" w:fill="FFFFFF"/>
        <w:spacing w:after="1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522A" w:rsidRPr="00CE7D0C" w:rsidRDefault="0088629E" w:rsidP="00117EAB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2C3472" w:rsidRPr="005312FB">
        <w:rPr>
          <w:sz w:val="28"/>
          <w:szCs w:val="28"/>
        </w:rPr>
        <w:t>Об утверждении внутреннего документа в новой редакции: Регламент прохождения платежей АО «Янтарьэнерго».</w:t>
      </w:r>
    </w:p>
    <w:p w:rsidR="008D735A" w:rsidRDefault="008D735A" w:rsidP="00CE3AA7">
      <w:pPr>
        <w:tabs>
          <w:tab w:val="left" w:pos="567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CE3AA7" w:rsidRDefault="00BB215F" w:rsidP="00CE3AA7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00170B" w:rsidRPr="0053132E" w:rsidRDefault="0000170B" w:rsidP="0000170B">
      <w:pPr>
        <w:ind w:firstLine="567"/>
        <w:jc w:val="both"/>
        <w:rPr>
          <w:sz w:val="28"/>
          <w:szCs w:val="28"/>
        </w:rPr>
      </w:pPr>
      <w:r w:rsidRPr="0053132E">
        <w:rPr>
          <w:sz w:val="28"/>
          <w:szCs w:val="28"/>
        </w:rPr>
        <w:t>1. Утвердить Регламент прохождения платежей АО «Янтарьэнерго» в новой редакции согласно Приложению № 1 к настоящему решению Совета директоров Общества.</w:t>
      </w:r>
    </w:p>
    <w:p w:rsidR="00FA522A" w:rsidRDefault="0000170B" w:rsidP="0000170B">
      <w:pPr>
        <w:ind w:firstLine="567"/>
        <w:jc w:val="both"/>
        <w:rPr>
          <w:sz w:val="28"/>
          <w:szCs w:val="28"/>
        </w:rPr>
      </w:pPr>
      <w:r w:rsidRPr="0053132E">
        <w:rPr>
          <w:sz w:val="28"/>
          <w:szCs w:val="28"/>
        </w:rPr>
        <w:t xml:space="preserve">2. Считать утратившим силу Регламент прохождения платежей </w:t>
      </w:r>
      <w:r w:rsidRPr="0053132E">
        <w:rPr>
          <w:sz w:val="28"/>
          <w:szCs w:val="28"/>
        </w:rPr>
        <w:br/>
        <w:t>АО «Янтарьэнерго», утвержденный решениям Совета директоров Общества (Протокол от 29.06.2015 № 19).</w:t>
      </w:r>
    </w:p>
    <w:p w:rsidR="008D735A" w:rsidRPr="00384BF5" w:rsidRDefault="008D735A" w:rsidP="0000170B">
      <w:pPr>
        <w:ind w:firstLine="567"/>
        <w:jc w:val="both"/>
        <w:rPr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88629E" w:rsidRPr="0088629E" w:rsidTr="00D81FA9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D81FA9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0B449C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C3650" w:rsidRPr="00A82295" w:rsidRDefault="007B075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C3650" w:rsidRPr="00A82295" w:rsidRDefault="00AC3650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D81FA9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D81FA9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D81FA9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0170B" w:rsidRPr="00282FEB" w:rsidRDefault="00A21A9F" w:rsidP="0000170B">
      <w:pPr>
        <w:shd w:val="clear" w:color="auto" w:fill="FFFFFF"/>
        <w:jc w:val="both"/>
        <w:rPr>
          <w:b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00170B" w:rsidRPr="005312FB">
        <w:rPr>
          <w:sz w:val="28"/>
          <w:szCs w:val="28"/>
        </w:rPr>
        <w:t>Об утверждении внутреннего документа в новой редакции: Регламент размещения временно свободных денежных средств АО «Янтарьэнерго».</w:t>
      </w:r>
    </w:p>
    <w:p w:rsidR="008D735A" w:rsidRDefault="008D735A" w:rsidP="00A21A9F">
      <w:pPr>
        <w:tabs>
          <w:tab w:val="left" w:pos="567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00170B" w:rsidRPr="005312FB" w:rsidRDefault="0000170B" w:rsidP="0000170B">
      <w:pPr>
        <w:numPr>
          <w:ilvl w:val="0"/>
          <w:numId w:val="32"/>
        </w:numPr>
        <w:tabs>
          <w:tab w:val="left" w:pos="0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5312FB">
        <w:rPr>
          <w:sz w:val="28"/>
          <w:szCs w:val="28"/>
        </w:rPr>
        <w:t>Утвердить Регламент размещения временно свободных денежных средств АО «Янтарьэнерго» в новой редакции согласно Приложению № 2 к настоящему решению Совета директоров Общества.</w:t>
      </w:r>
    </w:p>
    <w:p w:rsidR="0000170B" w:rsidRPr="005312FB" w:rsidRDefault="0000170B" w:rsidP="0000170B">
      <w:pPr>
        <w:numPr>
          <w:ilvl w:val="0"/>
          <w:numId w:val="32"/>
        </w:numPr>
        <w:tabs>
          <w:tab w:val="left" w:pos="0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5312FB">
        <w:rPr>
          <w:sz w:val="28"/>
          <w:szCs w:val="28"/>
        </w:rPr>
        <w:t xml:space="preserve">Утвердить перечень кредитных учреждений и установленные лимиты размещения временно свободных денежных средств для </w:t>
      </w:r>
      <w:r w:rsidRPr="005312FB">
        <w:rPr>
          <w:sz w:val="28"/>
          <w:szCs w:val="28"/>
        </w:rPr>
        <w:br/>
        <w:t>АО «Янтарьэнерго» согласно Приложению № 3 к настоящему решению Совета директоров Общества.</w:t>
      </w:r>
    </w:p>
    <w:p w:rsidR="0000170B" w:rsidRDefault="0000170B" w:rsidP="0000170B">
      <w:pPr>
        <w:numPr>
          <w:ilvl w:val="0"/>
          <w:numId w:val="32"/>
        </w:numPr>
        <w:tabs>
          <w:tab w:val="left" w:pos="0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5312FB">
        <w:rPr>
          <w:sz w:val="28"/>
          <w:szCs w:val="28"/>
        </w:rPr>
        <w:t>Считать утратившим силу Регламент размещения временно свободных денежных средств АО «Янтарьэнерго», утвержденный решением Совета директоров Общества (Протокол от 29.04.2016 № 26).</w:t>
      </w:r>
    </w:p>
    <w:p w:rsidR="008D735A" w:rsidRPr="005312FB" w:rsidRDefault="008D735A" w:rsidP="008D735A">
      <w:pPr>
        <w:tabs>
          <w:tab w:val="left" w:pos="0"/>
          <w:tab w:val="left" w:pos="993"/>
        </w:tabs>
        <w:ind w:left="567"/>
        <w:contextualSpacing/>
        <w:jc w:val="both"/>
        <w:rPr>
          <w:sz w:val="28"/>
          <w:szCs w:val="28"/>
        </w:rPr>
      </w:pPr>
    </w:p>
    <w:p w:rsidR="00A21A9F" w:rsidRDefault="00A21A9F" w:rsidP="00A21A9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21A9F" w:rsidRPr="0088629E" w:rsidTr="00CC102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21A9F" w:rsidRPr="0088629E" w:rsidTr="00CC102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21A9F" w:rsidRPr="00EE5B74" w:rsidRDefault="00A21A9F" w:rsidP="00CC102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  <w:tcBorders>
              <w:right w:val="single" w:sz="4" w:space="0" w:color="auto"/>
            </w:tcBorders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C66365" w:rsidTr="00CC1020">
        <w:tc>
          <w:tcPr>
            <w:tcW w:w="4583" w:type="dxa"/>
          </w:tcPr>
          <w:p w:rsidR="00A21A9F" w:rsidRPr="00C66365" w:rsidRDefault="00A21A9F" w:rsidP="00CC102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1A9F" w:rsidRPr="00C66365" w:rsidRDefault="001E3787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5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21A9F" w:rsidRPr="00A82295" w:rsidRDefault="001E3787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rPr>
          <w:trHeight w:val="310"/>
        </w:trPr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21A9F" w:rsidRDefault="00A21A9F" w:rsidP="00A21A9F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00170B" w:rsidRPr="0000170B">
        <w:rPr>
          <w:sz w:val="28"/>
          <w:szCs w:val="28"/>
        </w:rPr>
        <w:t>Об утверждении бюджета Комитета по аудиту Совета директоров Общества на 2-е полугодие 2018 года и 1 полугодие 2019 года.</w:t>
      </w:r>
    </w:p>
    <w:p w:rsidR="008D735A" w:rsidRPr="00CE7D0C" w:rsidRDefault="008D735A" w:rsidP="00A21A9F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00170B" w:rsidRPr="005312FB" w:rsidRDefault="0000170B" w:rsidP="0000170B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5312FB">
        <w:rPr>
          <w:sz w:val="28"/>
          <w:szCs w:val="28"/>
        </w:rPr>
        <w:lastRenderedPageBreak/>
        <w:t xml:space="preserve">Утвердить бюджет Комитета по аудиту Совета директоров </w:t>
      </w:r>
      <w:r w:rsidRPr="005312FB">
        <w:rPr>
          <w:sz w:val="28"/>
          <w:szCs w:val="28"/>
        </w:rPr>
        <w:br/>
        <w:t xml:space="preserve">АО «Янтарьэнерго» на 2-е полугодие 2018 года и 1-е полугодие 2019 года </w:t>
      </w:r>
      <w:r w:rsidRPr="005312FB">
        <w:rPr>
          <w:sz w:val="28"/>
          <w:szCs w:val="28"/>
        </w:rPr>
        <w:br/>
        <w:t>в соответствии с Приложением № 4 к настоящему решению Совета директоров Общества.</w:t>
      </w:r>
    </w:p>
    <w:p w:rsidR="00A21A9F" w:rsidRDefault="00A21A9F" w:rsidP="00A21A9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21A9F" w:rsidRPr="0088629E" w:rsidTr="00CC102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21A9F" w:rsidRPr="0088629E" w:rsidTr="00CC102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21A9F" w:rsidRPr="00EE5B74" w:rsidRDefault="00A21A9F" w:rsidP="00CC102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  <w:tcBorders>
              <w:right w:val="single" w:sz="4" w:space="0" w:color="auto"/>
            </w:tcBorders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C66365" w:rsidTr="00CC1020">
        <w:tc>
          <w:tcPr>
            <w:tcW w:w="4583" w:type="dxa"/>
          </w:tcPr>
          <w:p w:rsidR="00A21A9F" w:rsidRPr="00C66365" w:rsidRDefault="00A21A9F" w:rsidP="00CC102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1A9F" w:rsidRPr="00C6636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rPr>
          <w:trHeight w:val="310"/>
        </w:trPr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21A9F" w:rsidRDefault="00A21A9F" w:rsidP="00A21A9F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21A9F" w:rsidRPr="00CE7D0C" w:rsidRDefault="00A21A9F" w:rsidP="00A21A9F">
      <w:pPr>
        <w:shd w:val="clear" w:color="auto" w:fill="FFFFFF"/>
        <w:jc w:val="both"/>
        <w:rPr>
          <w:color w:val="000000"/>
          <w:spacing w:val="-3"/>
          <w:w w:val="102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00170B" w:rsidRPr="0000170B">
        <w:rPr>
          <w:sz w:val="28"/>
          <w:szCs w:val="28"/>
        </w:rPr>
        <w:t>Об утверждении Методических указаний по определению резервов мощности на центрах питания АО «Янтарьэнерго» в новой редакции.</w:t>
      </w:r>
    </w:p>
    <w:p w:rsidR="00A21A9F" w:rsidRDefault="00A21A9F" w:rsidP="00A21A9F">
      <w:pPr>
        <w:tabs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00170B" w:rsidRPr="005312FB">
        <w:rPr>
          <w:rFonts w:eastAsia="Calibri"/>
          <w:sz w:val="28"/>
          <w:szCs w:val="28"/>
          <w:lang w:eastAsia="en-US"/>
        </w:rPr>
        <w:t>Утвердить Методические указания по определению резервов мощности на центрах питания в соответствии с Приложением № 5 к настоящему решению Совета директоров Общества.</w:t>
      </w:r>
    </w:p>
    <w:p w:rsidR="00A21A9F" w:rsidRDefault="00A21A9F" w:rsidP="00A21A9F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A21A9F" w:rsidRPr="0088629E" w:rsidTr="00CC1020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21A9F" w:rsidRPr="0088629E" w:rsidTr="00CC1020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A21A9F" w:rsidRPr="0088629E" w:rsidRDefault="00A21A9F" w:rsidP="00CC1020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A21A9F" w:rsidRPr="0088629E" w:rsidRDefault="00A21A9F" w:rsidP="00CC1020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A21A9F" w:rsidRPr="00EE5B74" w:rsidRDefault="00A21A9F" w:rsidP="00CC1020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  <w:tcBorders>
              <w:right w:val="single" w:sz="4" w:space="0" w:color="auto"/>
            </w:tcBorders>
          </w:tcPr>
          <w:p w:rsidR="00A21A9F" w:rsidRPr="00621818" w:rsidRDefault="00A21A9F" w:rsidP="00CC1020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C66365" w:rsidTr="00CC1020">
        <w:tc>
          <w:tcPr>
            <w:tcW w:w="4583" w:type="dxa"/>
          </w:tcPr>
          <w:p w:rsidR="00A21A9F" w:rsidRPr="00C66365" w:rsidRDefault="00A21A9F" w:rsidP="00CC102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21A9F" w:rsidRPr="00C6636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rPr>
          <w:trHeight w:val="310"/>
        </w:trPr>
        <w:tc>
          <w:tcPr>
            <w:tcW w:w="4583" w:type="dxa"/>
          </w:tcPr>
          <w:p w:rsidR="00A21A9F" w:rsidRPr="00621818" w:rsidRDefault="00A21A9F" w:rsidP="00CC102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A82295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21A9F" w:rsidRPr="0088629E" w:rsidTr="00CC1020">
        <w:tc>
          <w:tcPr>
            <w:tcW w:w="4583" w:type="dxa"/>
          </w:tcPr>
          <w:p w:rsidR="00A21A9F" w:rsidRPr="00621818" w:rsidRDefault="00A21A9F" w:rsidP="00CC1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A21A9F" w:rsidRPr="00EE5B74" w:rsidRDefault="00A21A9F" w:rsidP="00CC102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21A9F" w:rsidRDefault="00A21A9F" w:rsidP="00A21A9F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C067B" w:rsidRDefault="0062730C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C067B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8D735A" w:rsidRDefault="008D735A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E0FE5" w:rsidRDefault="00DC067B" w:rsidP="00F71C9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00170B" w:rsidRPr="0053132E" w:rsidRDefault="0000170B" w:rsidP="0000170B">
      <w:pPr>
        <w:ind w:firstLine="567"/>
        <w:jc w:val="both"/>
        <w:rPr>
          <w:sz w:val="28"/>
          <w:szCs w:val="28"/>
        </w:rPr>
      </w:pPr>
      <w:r w:rsidRPr="0053132E">
        <w:rPr>
          <w:sz w:val="28"/>
          <w:szCs w:val="28"/>
        </w:rPr>
        <w:t>1. Утвердить Регламент прохождения платежей АО «Янтарьэнерго» в новой редакции согласно Приложению № 1 к настоящему решению Совета директоров Общества.</w:t>
      </w:r>
    </w:p>
    <w:p w:rsidR="0000170B" w:rsidRDefault="0000170B" w:rsidP="0000170B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 w:rsidRPr="0053132E">
        <w:rPr>
          <w:sz w:val="28"/>
          <w:szCs w:val="28"/>
        </w:rPr>
        <w:t xml:space="preserve">2. Считать утратившим силу Регламент прохождения платежей </w:t>
      </w:r>
      <w:r w:rsidRPr="0053132E">
        <w:rPr>
          <w:sz w:val="28"/>
          <w:szCs w:val="28"/>
        </w:rPr>
        <w:br/>
        <w:t>АО «Янтарьэнерго», утвержденный решениям Совета директоров Общества (Протокол от 29.06.2015 № 19).</w:t>
      </w:r>
    </w:p>
    <w:p w:rsidR="008D735A" w:rsidRDefault="008D735A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D735A" w:rsidRDefault="008D735A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00170B" w:rsidRPr="005312FB" w:rsidRDefault="0000170B" w:rsidP="008D735A">
      <w:pPr>
        <w:numPr>
          <w:ilvl w:val="0"/>
          <w:numId w:val="3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5312FB">
        <w:rPr>
          <w:sz w:val="28"/>
          <w:szCs w:val="28"/>
        </w:rPr>
        <w:t>Утвердить Регламент размещения временно свободных денежных средств АО «Янтарьэнерго» в новой редакции согласно Приложению № 2 к настоящему решению Совета директоров Общества.</w:t>
      </w:r>
    </w:p>
    <w:p w:rsidR="0000170B" w:rsidRPr="005312FB" w:rsidRDefault="0000170B" w:rsidP="0000170B">
      <w:pPr>
        <w:numPr>
          <w:ilvl w:val="0"/>
          <w:numId w:val="3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5312FB">
        <w:rPr>
          <w:sz w:val="28"/>
          <w:szCs w:val="28"/>
        </w:rPr>
        <w:t xml:space="preserve">Утвердить перечень кредитных учреждений и установленные лимиты размещения временно свободных денежных средств для </w:t>
      </w:r>
      <w:r w:rsidRPr="005312FB">
        <w:rPr>
          <w:sz w:val="28"/>
          <w:szCs w:val="28"/>
        </w:rPr>
        <w:br/>
        <w:t>АО «Янтарьэнерго» согласно Приложению № 3 к настоящему решению Совета директоров Общества.</w:t>
      </w:r>
    </w:p>
    <w:p w:rsidR="0000170B" w:rsidRPr="005312FB" w:rsidRDefault="0000170B" w:rsidP="0000170B">
      <w:pPr>
        <w:numPr>
          <w:ilvl w:val="0"/>
          <w:numId w:val="33"/>
        </w:numPr>
        <w:tabs>
          <w:tab w:val="left" w:pos="0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5312FB">
        <w:rPr>
          <w:sz w:val="28"/>
          <w:szCs w:val="28"/>
        </w:rPr>
        <w:t>Считать утратившим силу Регламент размещения временно свободных денежных средств АО «Янтарьэнерго», утвержденный решением Совета директоров Общества (Протокол от 29.04.2016 № 26).</w:t>
      </w:r>
    </w:p>
    <w:p w:rsidR="0000170B" w:rsidRDefault="0000170B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00170B" w:rsidRPr="005312FB" w:rsidRDefault="0000170B" w:rsidP="0000170B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5312FB">
        <w:rPr>
          <w:sz w:val="28"/>
          <w:szCs w:val="28"/>
        </w:rPr>
        <w:t xml:space="preserve">Утвердить бюджет Комитета по аудиту Совета директоров </w:t>
      </w:r>
      <w:r w:rsidRPr="005312FB">
        <w:rPr>
          <w:sz w:val="28"/>
          <w:szCs w:val="28"/>
        </w:rPr>
        <w:br/>
        <w:t xml:space="preserve">АО «Янтарьэнерго» на 2-е полугодие 2018 года и 1-е полугодие 2019 года </w:t>
      </w:r>
      <w:r w:rsidRPr="005312FB">
        <w:rPr>
          <w:sz w:val="28"/>
          <w:szCs w:val="28"/>
        </w:rPr>
        <w:br/>
        <w:t>в соответствии с Приложением № 4 к настоящему решению Совета директоров Общества.</w:t>
      </w:r>
    </w:p>
    <w:p w:rsidR="0000170B" w:rsidRDefault="0000170B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152715">
        <w:rPr>
          <w:rFonts w:eastAsia="Calibri"/>
          <w:b/>
          <w:sz w:val="28"/>
          <w:szCs w:val="28"/>
          <w:lang w:eastAsia="en-US"/>
        </w:rPr>
        <w:t>:</w:t>
      </w:r>
      <w:r w:rsidRPr="00152715">
        <w:rPr>
          <w:rFonts w:eastAsiaTheme="minorHAnsi"/>
          <w:sz w:val="28"/>
          <w:szCs w:val="28"/>
          <w:lang w:eastAsia="en-US"/>
        </w:rPr>
        <w:t xml:space="preserve"> </w:t>
      </w:r>
      <w:r w:rsidR="0000170B" w:rsidRPr="005312FB">
        <w:rPr>
          <w:rFonts w:eastAsia="Calibri"/>
          <w:sz w:val="28"/>
          <w:szCs w:val="28"/>
          <w:lang w:eastAsia="en-US"/>
        </w:rPr>
        <w:t>Утвердить Методические указания по определению резервов мощности на центрах питания в соответствии с Приложением № 5 к настоящему решению Совета директоров Общества.</w:t>
      </w:r>
    </w:p>
    <w:p w:rsidR="00887F48" w:rsidRDefault="00887F48" w:rsidP="00887F48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C067B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E83310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bookmarkStart w:id="0" w:name="_GoBack"/>
      <w:bookmarkEnd w:id="0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117EAB">
        <w:rPr>
          <w:rFonts w:eastAsiaTheme="minorHAnsi"/>
          <w:bCs/>
          <w:color w:val="000000"/>
          <w:sz w:val="28"/>
          <w:szCs w:val="28"/>
          <w:lang w:eastAsia="en-US"/>
        </w:rPr>
        <w:t>ок</w:t>
      </w:r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5C" w:rsidRDefault="00A1235C" w:rsidP="001D1CEA">
      <w:r>
        <w:separator/>
      </w:r>
    </w:p>
  </w:endnote>
  <w:endnote w:type="continuationSeparator" w:id="0">
    <w:p w:rsidR="00A1235C" w:rsidRDefault="00A1235C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5C" w:rsidRDefault="00A1235C" w:rsidP="001D1CEA">
      <w:r>
        <w:separator/>
      </w:r>
    </w:p>
  </w:footnote>
  <w:footnote w:type="continuationSeparator" w:id="0">
    <w:p w:rsidR="00A1235C" w:rsidRDefault="00A1235C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10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0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22"/>
  </w:num>
  <w:num w:numId="5">
    <w:abstractNumId w:val="8"/>
  </w:num>
  <w:num w:numId="6">
    <w:abstractNumId w:val="27"/>
  </w:num>
  <w:num w:numId="7">
    <w:abstractNumId w:val="23"/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1"/>
  </w:num>
  <w:num w:numId="13">
    <w:abstractNumId w:val="32"/>
  </w:num>
  <w:num w:numId="14">
    <w:abstractNumId w:val="9"/>
  </w:num>
  <w:num w:numId="15">
    <w:abstractNumId w:val="29"/>
  </w:num>
  <w:num w:numId="16">
    <w:abstractNumId w:val="28"/>
  </w:num>
  <w:num w:numId="17">
    <w:abstractNumId w:val="10"/>
  </w:num>
  <w:num w:numId="18">
    <w:abstractNumId w:val="30"/>
  </w:num>
  <w:num w:numId="19">
    <w:abstractNumId w:val="31"/>
  </w:num>
  <w:num w:numId="20">
    <w:abstractNumId w:val="5"/>
  </w:num>
  <w:num w:numId="21">
    <w:abstractNumId w:val="25"/>
  </w:num>
  <w:num w:numId="22">
    <w:abstractNumId w:val="14"/>
  </w:num>
  <w:num w:numId="23">
    <w:abstractNumId w:val="18"/>
  </w:num>
  <w:num w:numId="24">
    <w:abstractNumId w:val="6"/>
  </w:num>
  <w:num w:numId="25">
    <w:abstractNumId w:val="15"/>
  </w:num>
  <w:num w:numId="26">
    <w:abstractNumId w:val="0"/>
  </w:num>
  <w:num w:numId="27">
    <w:abstractNumId w:val="26"/>
  </w:num>
  <w:num w:numId="28">
    <w:abstractNumId w:val="2"/>
  </w:num>
  <w:num w:numId="29">
    <w:abstractNumId w:val="13"/>
  </w:num>
  <w:num w:numId="30">
    <w:abstractNumId w:val="4"/>
  </w:num>
  <w:num w:numId="31">
    <w:abstractNumId w:val="19"/>
  </w:num>
  <w:num w:numId="32">
    <w:abstractNumId w:val="12"/>
  </w:num>
  <w:num w:numId="3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787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598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0209"/>
    <w:rsid w:val="004234DD"/>
    <w:rsid w:val="00423763"/>
    <w:rsid w:val="00424544"/>
    <w:rsid w:val="00424787"/>
    <w:rsid w:val="004277FA"/>
    <w:rsid w:val="00427FC7"/>
    <w:rsid w:val="0043357E"/>
    <w:rsid w:val="00434CF2"/>
    <w:rsid w:val="00445045"/>
    <w:rsid w:val="00447685"/>
    <w:rsid w:val="00453179"/>
    <w:rsid w:val="004533DF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0ED0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235C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3310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A522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1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BAC4B-50B9-4568-8FA0-AF7C3122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27</cp:revision>
  <cp:lastPrinted>2018-08-09T09:30:00Z</cp:lastPrinted>
  <dcterms:created xsi:type="dcterms:W3CDTF">2018-08-09T08:44:00Z</dcterms:created>
  <dcterms:modified xsi:type="dcterms:W3CDTF">2018-10-12T12:15:00Z</dcterms:modified>
</cp:coreProperties>
</file>