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20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Default="00B802C4" w:rsidP="00337C64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385297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hAnsi="Times New Roman"/>
                <w:b/>
                <w:sz w:val="24"/>
              </w:rPr>
              <w:t>":</w:t>
            </w:r>
            <w:r w:rsidR="00EB07B3">
              <w:t xml:space="preserve"> </w:t>
            </w:r>
            <w:r w:rsidR="0096060E">
              <w:t xml:space="preserve"> </w:t>
            </w:r>
            <w:r w:rsidR="0096060E" w:rsidRPr="0096060E">
              <w:rPr>
                <w:rFonts w:ascii="Times New Roman" w:hAnsi="Times New Roman"/>
                <w:b/>
                <w:sz w:val="24"/>
              </w:rPr>
              <w:t>Имущественный</w:t>
            </w:r>
            <w:proofErr w:type="gramEnd"/>
            <w:r w:rsidR="0096060E" w:rsidRPr="0096060E">
              <w:rPr>
                <w:rFonts w:ascii="Times New Roman" w:hAnsi="Times New Roman"/>
                <w:b/>
                <w:sz w:val="24"/>
              </w:rPr>
              <w:t xml:space="preserve">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      </w:r>
            <w:proofErr w:type="spellStart"/>
            <w:r w:rsidR="0096060E" w:rsidRPr="0096060E">
              <w:rPr>
                <w:rFonts w:ascii="Times New Roman" w:hAnsi="Times New Roman"/>
                <w:b/>
                <w:sz w:val="24"/>
              </w:rPr>
              <w:t>Тимофеевски</w:t>
            </w:r>
            <w:r w:rsidR="0096060E">
              <w:rPr>
                <w:rFonts w:ascii="Times New Roman" w:hAnsi="Times New Roman"/>
                <w:b/>
                <w:sz w:val="24"/>
              </w:rPr>
              <w:t>й</w:t>
            </w:r>
            <w:proofErr w:type="spellEnd"/>
            <w:r w:rsidR="0096060E">
              <w:rPr>
                <w:rFonts w:ascii="Times New Roman" w:hAnsi="Times New Roman"/>
                <w:b/>
                <w:sz w:val="24"/>
              </w:rPr>
              <w:t xml:space="preserve"> сельский округ, пос. Лагерное</w:t>
            </w:r>
          </w:p>
          <w:p w:rsidR="00E11B71" w:rsidRPr="00141544" w:rsidRDefault="00AC5D15" w:rsidP="00AC5D15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(в редакции от 03.12.2018)</w:t>
            </w:r>
          </w:p>
        </w:tc>
      </w:tr>
      <w:tr w:rsidR="00B802C4" w:rsidRPr="00B802C4" w:rsidTr="00AC5D15">
        <w:trPr>
          <w:trHeight w:val="326"/>
        </w:trPr>
        <w:tc>
          <w:tcPr>
            <w:tcW w:w="4253" w:type="dxa"/>
            <w:tcBorders>
              <w:top w:val="single" w:sz="4" w:space="0" w:color="auto"/>
            </w:tcBorders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802C4"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5920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AC5D15">
        <w:trPr>
          <w:trHeight w:val="828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802C4"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5920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AC5D15">
        <w:trPr>
          <w:trHeight w:val="1399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802C4"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5920" w:type="dxa"/>
          </w:tcPr>
          <w:p w:rsidR="00B802C4" w:rsidRPr="0018434E" w:rsidRDefault="0096060E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96060E">
              <w:rPr>
                <w:rFonts w:ascii="Times New Roman" w:hAnsi="Times New Roman"/>
              </w:rPr>
      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      </w:r>
            <w:proofErr w:type="spellStart"/>
            <w:r w:rsidRPr="0096060E">
              <w:rPr>
                <w:rFonts w:ascii="Times New Roman" w:hAnsi="Times New Roman"/>
              </w:rPr>
              <w:t>Тимофеевский</w:t>
            </w:r>
            <w:proofErr w:type="spellEnd"/>
            <w:r w:rsidRPr="0096060E">
              <w:rPr>
                <w:rFonts w:ascii="Times New Roman" w:hAnsi="Times New Roman"/>
              </w:rPr>
              <w:t xml:space="preserve"> сельский округ, пос. Лагерное.</w:t>
            </w:r>
          </w:p>
        </w:tc>
      </w:tr>
      <w:tr w:rsidR="00B802C4" w:rsidRPr="00B802C4" w:rsidTr="00AC5D15">
        <w:trPr>
          <w:trHeight w:val="472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802C4"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5920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AC5D15">
        <w:trPr>
          <w:trHeight w:val="493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B802C4"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5920" w:type="dxa"/>
          </w:tcPr>
          <w:p w:rsidR="00F6047E" w:rsidRDefault="0096060E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96060E">
              <w:rPr>
                <w:rFonts w:ascii="Times New Roman" w:hAnsi="Times New Roman"/>
              </w:rPr>
              <w:t>15 000 000,00 руб., с учетом НДС 18%.</w:t>
            </w:r>
          </w:p>
          <w:p w:rsidR="00AC5D15" w:rsidRPr="0018434E" w:rsidRDefault="00AC5D15" w:rsidP="00AC5D15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AC5D15">
              <w:rPr>
                <w:rFonts w:ascii="Times New Roman" w:eastAsia="Tahoma" w:hAnsi="Times New Roman"/>
              </w:rPr>
              <w:tab/>
              <w:t xml:space="preserve">В связи с вступлением в силу с 01.01.2019 Федерального закона от 03.08.2018 №303-ФЗ “О внесении изменений в отдельные законодательные акты Российской Федерации о налогах и сборах” о повышении налога на добавленную стоимость (НДС) до 20%, в случае </w:t>
            </w:r>
            <w:r>
              <w:rPr>
                <w:rFonts w:ascii="Times New Roman" w:eastAsia="Tahoma" w:hAnsi="Times New Roman"/>
              </w:rPr>
              <w:t xml:space="preserve">заключения </w:t>
            </w:r>
            <w:proofErr w:type="gramStart"/>
            <w:r>
              <w:rPr>
                <w:rFonts w:ascii="Times New Roman" w:eastAsia="Tahoma" w:hAnsi="Times New Roman"/>
              </w:rPr>
              <w:t xml:space="preserve">договора </w:t>
            </w:r>
            <w:r w:rsidRPr="00AC5D15">
              <w:rPr>
                <w:rFonts w:ascii="Times New Roman" w:eastAsia="Tahoma" w:hAnsi="Times New Roman"/>
              </w:rPr>
              <w:t xml:space="preserve"> после</w:t>
            </w:r>
            <w:proofErr w:type="gramEnd"/>
            <w:r w:rsidRPr="00AC5D15">
              <w:rPr>
                <w:rFonts w:ascii="Times New Roman" w:eastAsia="Tahoma" w:hAnsi="Times New Roman"/>
              </w:rPr>
              <w:t xml:space="preserve"> 31.12.2018 начальная цена Комплекса  составит 15 254 237,29 руб., в том числе НДС 20% -2 542 372,88руб.</w:t>
            </w:r>
          </w:p>
        </w:tc>
      </w:tr>
      <w:tr w:rsidR="00B802C4" w:rsidRPr="00B802C4" w:rsidTr="00AC5D15">
        <w:trPr>
          <w:trHeight w:val="790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B802C4"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5920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96060E" w:rsidRPr="0096060E">
              <w:rPr>
                <w:rFonts w:ascii="Times New Roman" w:hAnsi="Times New Roman"/>
                <w:bCs/>
              </w:rPr>
              <w:t>150 000,00 руб.</w:t>
            </w:r>
          </w:p>
        </w:tc>
      </w:tr>
      <w:tr w:rsidR="00B802C4" w:rsidRPr="00B802C4" w:rsidTr="00AC5D15">
        <w:trPr>
          <w:trHeight w:val="172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802C4"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5920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AC5D15">
        <w:trPr>
          <w:trHeight w:val="1833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802C4"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5920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AC5D15" w:rsidP="00AC5D1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AC5D15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AC5D1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AC5D15"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802C4"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5920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AC5D15">
        <w:trPr>
          <w:trHeight w:val="564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B802C4"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5920" w:type="dxa"/>
          </w:tcPr>
          <w:p w:rsidR="005F3380" w:rsidRPr="00D52A91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D52A91">
              <w:rPr>
                <w:rFonts w:ascii="Times New Roman" w:hAnsi="Times New Roman"/>
              </w:rPr>
              <w:t>группы</w:t>
            </w:r>
            <w:proofErr w:type="gramEnd"/>
            <w:r w:rsidR="00424567" w:rsidRPr="00D52A91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D52A91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D52A91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D52A91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D52A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A5ECF">
              <w:rPr>
                <w:rFonts w:ascii="Times New Roman" w:hAnsi="Times New Roman"/>
                <w:i/>
                <w:color w:val="000000" w:themeColor="text1"/>
              </w:rPr>
              <w:t>30.08.</w:t>
            </w:r>
            <w:r w:rsidR="00385297">
              <w:rPr>
                <w:rFonts w:ascii="Times New Roman" w:hAnsi="Times New Roman"/>
                <w:i/>
                <w:color w:val="000000" w:themeColor="text1"/>
              </w:rPr>
              <w:t>2018г.</w:t>
            </w:r>
          </w:p>
          <w:p w:rsidR="00942A67" w:rsidRPr="00942A67" w:rsidRDefault="00C6192F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C6192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открытом аукционе в электронной форме (предварительный квалификационный отбор): </w:t>
            </w:r>
            <w:r w:rsidR="00942A67" w:rsidRPr="00942A67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</w:t>
            </w:r>
            <w:r w:rsidR="00942A67" w:rsidRPr="00942A67">
              <w:rPr>
                <w:rFonts w:ascii="Times New Roman" w:hAnsi="Times New Roman"/>
                <w:color w:val="000000" w:themeColor="text1"/>
              </w:rPr>
              <w:lastRenderedPageBreak/>
              <w:t xml:space="preserve">отбор) на ЭТП «www.b2b-mrsk.ru» и начинает процедуру их вскрытия </w:t>
            </w:r>
            <w:r w:rsidR="00881EC8">
              <w:rPr>
                <w:rFonts w:ascii="Times New Roman" w:hAnsi="Times New Roman"/>
                <w:color w:val="000000" w:themeColor="text1"/>
              </w:rPr>
              <w:t>в 1</w:t>
            </w:r>
            <w:r w:rsidR="00385297">
              <w:rPr>
                <w:rFonts w:ascii="Times New Roman" w:hAnsi="Times New Roman"/>
                <w:color w:val="000000" w:themeColor="text1"/>
              </w:rPr>
              <w:t>5</w:t>
            </w:r>
            <w:r w:rsidR="00AC5D15">
              <w:rPr>
                <w:rFonts w:ascii="Times New Roman" w:hAnsi="Times New Roman"/>
                <w:color w:val="000000" w:themeColor="text1"/>
              </w:rPr>
              <w:t>.00 (московского времени) 27.12.</w:t>
            </w:r>
            <w:r w:rsidR="00942A67" w:rsidRPr="00942A67">
              <w:rPr>
                <w:rFonts w:ascii="Times New Roman" w:hAnsi="Times New Roman"/>
                <w:color w:val="000000" w:themeColor="text1"/>
              </w:rPr>
              <w:t>2018г.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942A67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</w:t>
            </w:r>
            <w:r w:rsidR="00881EC8">
              <w:rPr>
                <w:rFonts w:ascii="Times New Roman" w:hAnsi="Times New Roman"/>
                <w:color w:val="000000" w:themeColor="text1"/>
              </w:rPr>
              <w:t>: 1</w:t>
            </w:r>
            <w:r w:rsidR="00D52A91">
              <w:rPr>
                <w:rFonts w:ascii="Times New Roman" w:hAnsi="Times New Roman"/>
                <w:color w:val="000000" w:themeColor="text1"/>
              </w:rPr>
              <w:t xml:space="preserve">8.00 (московского времени) </w:t>
            </w:r>
            <w:r w:rsidR="00AC5D15">
              <w:rPr>
                <w:rFonts w:ascii="Times New Roman" w:hAnsi="Times New Roman"/>
                <w:color w:val="000000" w:themeColor="text1"/>
              </w:rPr>
              <w:t>28.12.</w:t>
            </w:r>
            <w:r w:rsidRPr="00942A67">
              <w:rPr>
                <w:rFonts w:ascii="Times New Roman" w:hAnsi="Times New Roman"/>
                <w:color w:val="000000" w:themeColor="text1"/>
              </w:rPr>
              <w:t xml:space="preserve">2018г. 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942A67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942A67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942A67" w:rsidRPr="00942A67" w:rsidRDefault="0038529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AC5D15">
              <w:rPr>
                <w:rFonts w:ascii="Times New Roman" w:hAnsi="Times New Roman"/>
                <w:color w:val="000000" w:themeColor="text1"/>
              </w:rPr>
              <w:t>29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AC5D15">
              <w:rPr>
                <w:rFonts w:ascii="Times New Roman" w:hAnsi="Times New Roman"/>
                <w:color w:val="000000" w:themeColor="text1"/>
              </w:rPr>
              <w:t>12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942A67" w:rsidRPr="00942A67">
              <w:rPr>
                <w:rFonts w:ascii="Times New Roman" w:hAnsi="Times New Roman"/>
                <w:color w:val="000000" w:themeColor="text1"/>
              </w:rPr>
              <w:t>.2018г. 13:00 (московского времени).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942A67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AC5D15">
              <w:rPr>
                <w:rFonts w:ascii="Times New Roman" w:hAnsi="Times New Roman"/>
                <w:color w:val="000000" w:themeColor="text1"/>
              </w:rPr>
              <w:t>29</w:t>
            </w:r>
            <w:r w:rsidR="00385297">
              <w:rPr>
                <w:rFonts w:ascii="Times New Roman" w:hAnsi="Times New Roman"/>
                <w:color w:val="000000" w:themeColor="text1"/>
              </w:rPr>
              <w:t>.1</w:t>
            </w:r>
            <w:r w:rsidR="00AC5D15">
              <w:rPr>
                <w:rFonts w:ascii="Times New Roman" w:hAnsi="Times New Roman"/>
                <w:color w:val="000000" w:themeColor="text1"/>
              </w:rPr>
              <w:t>2</w:t>
            </w:r>
            <w:bookmarkStart w:id="0" w:name="_GoBack"/>
            <w:bookmarkEnd w:id="0"/>
            <w:r w:rsidR="00D52A91">
              <w:rPr>
                <w:rFonts w:ascii="Times New Roman" w:hAnsi="Times New Roman"/>
                <w:color w:val="000000" w:themeColor="text1"/>
              </w:rPr>
              <w:t xml:space="preserve">.2018г. </w:t>
            </w:r>
            <w:r w:rsidRPr="00942A67">
              <w:rPr>
                <w:rFonts w:ascii="Times New Roman" w:hAnsi="Times New Roman"/>
                <w:color w:val="000000" w:themeColor="text1"/>
              </w:rPr>
              <w:t>14:00 (московского времени).</w:t>
            </w:r>
          </w:p>
          <w:p w:rsidR="00B802C4" w:rsidRPr="0018434E" w:rsidRDefault="00B802C4" w:rsidP="00F73533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AC5D15"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="00B802C4"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="00B802C4"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="00B802C4"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5920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r w:rsidR="00D52A91" w:rsidRPr="0018434E">
              <w:rPr>
                <w:rFonts w:ascii="Times New Roman" w:hAnsi="Times New Roman"/>
              </w:rPr>
              <w:t>с Аукционной</w:t>
            </w:r>
            <w:r w:rsidRPr="0018434E">
              <w:rPr>
                <w:rFonts w:ascii="Times New Roman" w:hAnsi="Times New Roman"/>
              </w:rPr>
              <w:t xml:space="preserve"> 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Pr="0018434E">
              <w:rPr>
                <w:rFonts w:ascii="Times New Roman" w:hAnsi="Times New Roman"/>
              </w:rPr>
              <w:t xml:space="preserve">. с формой заявки, </w:t>
            </w:r>
            <w:r w:rsidR="00D52A91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D52A91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AC5D15"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B802C4"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5920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AC5D15">
        <w:trPr>
          <w:trHeight w:val="4580"/>
        </w:trPr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5920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AC5D15"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5920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AC5D15">
        <w:tc>
          <w:tcPr>
            <w:tcW w:w="4253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B802C4"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5920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C5648A" w:rsidP="00767D91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81EC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767D91" w:rsidRPr="00767D91">
        <w:rPr>
          <w:rFonts w:ascii="Times New Roman" w:hAnsi="Times New Roman"/>
        </w:rPr>
        <w:t xml:space="preserve"> Аукционной комиссии,</w:t>
      </w:r>
    </w:p>
    <w:p w:rsidR="00767D91" w:rsidRPr="00767D91" w:rsidRDefault="00767D91" w:rsidP="00881EC8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</w:t>
      </w:r>
      <w:r w:rsidR="00881EC8">
        <w:rPr>
          <w:rFonts w:ascii="Times New Roman" w:hAnsi="Times New Roman"/>
        </w:rPr>
        <w:t xml:space="preserve">    И.В. Редько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4F1E"/>
    <w:rsid w:val="0013567F"/>
    <w:rsid w:val="00141544"/>
    <w:rsid w:val="001450BA"/>
    <w:rsid w:val="00151507"/>
    <w:rsid w:val="001825A1"/>
    <w:rsid w:val="0018434E"/>
    <w:rsid w:val="00186C94"/>
    <w:rsid w:val="001A5ECF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37C64"/>
    <w:rsid w:val="003400C2"/>
    <w:rsid w:val="00367C56"/>
    <w:rsid w:val="003722BE"/>
    <w:rsid w:val="00381483"/>
    <w:rsid w:val="00385297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746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1EC8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2A67"/>
    <w:rsid w:val="00947790"/>
    <w:rsid w:val="0096060E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5D15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530E1"/>
    <w:rsid w:val="00C5648A"/>
    <w:rsid w:val="00C6192F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2A91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11B71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13C18"/>
    <w:rsid w:val="00F22754"/>
    <w:rsid w:val="00F263E0"/>
    <w:rsid w:val="00F6047E"/>
    <w:rsid w:val="00F730A9"/>
    <w:rsid w:val="00F73533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F0BF-4993-4EFF-8E66-DD7EFBBF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61</cp:revision>
  <cp:lastPrinted>2017-01-25T09:45:00Z</cp:lastPrinted>
  <dcterms:created xsi:type="dcterms:W3CDTF">2016-11-23T07:29:00Z</dcterms:created>
  <dcterms:modified xsi:type="dcterms:W3CDTF">2018-12-03T10:01:00Z</dcterms:modified>
</cp:coreProperties>
</file>