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E27D09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E80B43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60134B"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E80B43">
        <w:rPr>
          <w:rFonts w:eastAsiaTheme="minorHAnsi"/>
          <w:b/>
          <w:bCs/>
          <w:sz w:val="28"/>
          <w:szCs w:val="28"/>
          <w:lang w:eastAsia="en-US"/>
        </w:rPr>
        <w:t>29</w:t>
      </w:r>
      <w:bookmarkStart w:id="0" w:name="_GoBack"/>
      <w:bookmarkEnd w:id="0"/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D10C0C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10C0C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Беленко Р. А., Колесников М. А., </w:t>
      </w:r>
      <w:r w:rsidR="00591A4F" w:rsidRPr="00D10C0C">
        <w:rPr>
          <w:rFonts w:eastAsiaTheme="minorHAnsi"/>
          <w:sz w:val="28"/>
          <w:szCs w:val="28"/>
          <w:lang w:eastAsia="en-US"/>
        </w:rPr>
        <w:t>Маковский И. В.</w:t>
      </w:r>
      <w:r w:rsidR="00694FF6" w:rsidRPr="00D10C0C">
        <w:rPr>
          <w:rFonts w:eastAsiaTheme="minorHAnsi"/>
          <w:sz w:val="28"/>
          <w:szCs w:val="28"/>
          <w:lang w:eastAsia="en-US"/>
        </w:rPr>
        <w:t>, Чевкин Д. А.</w:t>
      </w:r>
    </w:p>
    <w:p w:rsidR="00150E28" w:rsidRPr="00D10C0C" w:rsidRDefault="00150E28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10C0C">
        <w:rPr>
          <w:rFonts w:eastAsiaTheme="minorHAnsi"/>
          <w:sz w:val="28"/>
          <w:szCs w:val="28"/>
          <w:lang w:eastAsia="en-US"/>
        </w:rPr>
        <w:t xml:space="preserve">Член Совета </w:t>
      </w:r>
      <w:proofErr w:type="spellStart"/>
      <w:r w:rsidRPr="00D10C0C">
        <w:rPr>
          <w:rFonts w:eastAsiaTheme="minorHAnsi"/>
          <w:sz w:val="28"/>
          <w:szCs w:val="28"/>
          <w:lang w:eastAsia="en-US"/>
        </w:rPr>
        <w:t>длиреторов</w:t>
      </w:r>
      <w:proofErr w:type="spellEnd"/>
      <w:r w:rsidRPr="00D10C0C">
        <w:rPr>
          <w:rFonts w:eastAsiaTheme="minorHAnsi"/>
          <w:sz w:val="28"/>
          <w:szCs w:val="28"/>
          <w:lang w:eastAsia="en-US"/>
        </w:rPr>
        <w:t xml:space="preserve"> Скулкин В. С. не принимал уча</w:t>
      </w:r>
      <w:r w:rsidR="00591A4F" w:rsidRPr="00D10C0C">
        <w:rPr>
          <w:rFonts w:eastAsiaTheme="minorHAnsi"/>
          <w:sz w:val="28"/>
          <w:szCs w:val="28"/>
          <w:lang w:eastAsia="en-US"/>
        </w:rPr>
        <w:t>с</w:t>
      </w:r>
      <w:r w:rsidRPr="00D10C0C">
        <w:rPr>
          <w:rFonts w:eastAsiaTheme="minorHAnsi"/>
          <w:sz w:val="28"/>
          <w:szCs w:val="28"/>
          <w:lang w:eastAsia="en-US"/>
        </w:rPr>
        <w:t>тия в голосовании.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10C0C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150E28" w:rsidRPr="00D10C0C">
        <w:rPr>
          <w:rFonts w:eastAsiaTheme="minorHAnsi"/>
          <w:sz w:val="28"/>
          <w:szCs w:val="28"/>
          <w:lang w:eastAsia="en-US"/>
        </w:rPr>
        <w:t>6</w:t>
      </w:r>
      <w:r w:rsidRPr="00D10C0C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D10C0C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A7BEF" w:rsidRDefault="001A7BEF" w:rsidP="001A7BEF">
      <w:pPr>
        <w:pStyle w:val="a7"/>
        <w:numPr>
          <w:ilvl w:val="0"/>
          <w:numId w:val="50"/>
        </w:numPr>
        <w:jc w:val="both"/>
        <w:rPr>
          <w:sz w:val="28"/>
          <w:szCs w:val="28"/>
        </w:rPr>
      </w:pPr>
      <w:r w:rsidRPr="001A7BEF">
        <w:rPr>
          <w:sz w:val="28"/>
          <w:szCs w:val="28"/>
        </w:rPr>
        <w:t>Об утверждении скорректированного Бизнес-плана (в том числе инвестиционной программы и информации о ключевых операционных рисках) АО «Янтарьэнерго» на 2016 год и прогнозных показателей на 2017-2020 годы.</w:t>
      </w:r>
    </w:p>
    <w:p w:rsidR="00F95F21" w:rsidRPr="0080294F" w:rsidRDefault="00F95F21" w:rsidP="00F95F21">
      <w:pPr>
        <w:pStyle w:val="a7"/>
        <w:numPr>
          <w:ilvl w:val="0"/>
          <w:numId w:val="50"/>
        </w:numPr>
        <w:tabs>
          <w:tab w:val="left" w:pos="708"/>
        </w:tabs>
        <w:jc w:val="both"/>
        <w:rPr>
          <w:color w:val="000000"/>
          <w:sz w:val="28"/>
          <w:szCs w:val="28"/>
        </w:rPr>
      </w:pPr>
      <w:r w:rsidRPr="0080294F">
        <w:rPr>
          <w:color w:val="000000"/>
          <w:sz w:val="28"/>
          <w:szCs w:val="28"/>
        </w:rPr>
        <w:t xml:space="preserve">Об утверждении </w:t>
      </w:r>
      <w:r w:rsidRPr="0080294F">
        <w:rPr>
          <w:bCs/>
          <w:color w:val="000000"/>
          <w:sz w:val="28"/>
          <w:szCs w:val="28"/>
        </w:rPr>
        <w:t xml:space="preserve">Программы повышения операционной эффективности и сокращения </w:t>
      </w:r>
      <w:proofErr w:type="gramStart"/>
      <w:r w:rsidRPr="0080294F">
        <w:rPr>
          <w:bCs/>
          <w:color w:val="000000"/>
          <w:sz w:val="28"/>
          <w:szCs w:val="28"/>
        </w:rPr>
        <w:t xml:space="preserve">расходов  </w:t>
      </w:r>
      <w:r w:rsidRPr="0080294F">
        <w:rPr>
          <w:color w:val="000000"/>
          <w:sz w:val="28"/>
          <w:szCs w:val="28"/>
        </w:rPr>
        <w:t>АО</w:t>
      </w:r>
      <w:proofErr w:type="gramEnd"/>
      <w:r w:rsidRPr="0080294F">
        <w:rPr>
          <w:color w:val="000000"/>
          <w:sz w:val="28"/>
          <w:szCs w:val="28"/>
        </w:rPr>
        <w:t xml:space="preserve"> «Янтарьэнерго».</w:t>
      </w:r>
    </w:p>
    <w:p w:rsidR="00A37E91" w:rsidRPr="00A37E91" w:rsidRDefault="00A37E91" w:rsidP="00A37E91">
      <w:pPr>
        <w:pStyle w:val="a7"/>
        <w:numPr>
          <w:ilvl w:val="0"/>
          <w:numId w:val="50"/>
        </w:numPr>
        <w:jc w:val="both"/>
        <w:rPr>
          <w:sz w:val="28"/>
          <w:szCs w:val="28"/>
        </w:rPr>
      </w:pPr>
      <w:r w:rsidRPr="00A37E91">
        <w:rPr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скорректированного Бизнес-плана ОАО «Калининградская генерирующая компания» на 2016 год и прогнозные показатели на 2017-2020 гг.».</w:t>
      </w:r>
    </w:p>
    <w:p w:rsidR="00F95F21" w:rsidRPr="001A7BEF" w:rsidRDefault="00A37E91" w:rsidP="001A7BEF">
      <w:pPr>
        <w:pStyle w:val="a7"/>
        <w:numPr>
          <w:ilvl w:val="0"/>
          <w:numId w:val="50"/>
        </w:numPr>
        <w:jc w:val="both"/>
        <w:rPr>
          <w:sz w:val="28"/>
          <w:szCs w:val="28"/>
        </w:rPr>
      </w:pPr>
      <w:r w:rsidRPr="0080294F">
        <w:rPr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скорректированного Бизнес-плана ОАО «Янтарьэнергосбыт» на 2016 год и прогнозные показатели на 2017-2020 гг.».</w:t>
      </w:r>
    </w:p>
    <w:p w:rsidR="00665062" w:rsidRPr="00764B47" w:rsidRDefault="00665062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A7BEF" w:rsidRPr="0080294F" w:rsidRDefault="0088629E" w:rsidP="001A7BEF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1A7BEF" w:rsidRPr="0080294F">
        <w:rPr>
          <w:sz w:val="28"/>
          <w:szCs w:val="28"/>
        </w:rPr>
        <w:t xml:space="preserve">Об утверждении скорректированного Бизнес-плана (в том числе инвестиционной программы и информации о ключевых операционных </w:t>
      </w:r>
      <w:proofErr w:type="gramStart"/>
      <w:r w:rsidR="001A7BEF" w:rsidRPr="0080294F">
        <w:rPr>
          <w:sz w:val="28"/>
          <w:szCs w:val="28"/>
        </w:rPr>
        <w:t xml:space="preserve">рисках) </w:t>
      </w:r>
      <w:r w:rsidR="00A37E91">
        <w:rPr>
          <w:sz w:val="28"/>
          <w:szCs w:val="28"/>
        </w:rPr>
        <w:t xml:space="preserve">  </w:t>
      </w:r>
      <w:proofErr w:type="gramEnd"/>
      <w:r w:rsidR="00A37E91">
        <w:rPr>
          <w:sz w:val="28"/>
          <w:szCs w:val="28"/>
        </w:rPr>
        <w:t xml:space="preserve">                  </w:t>
      </w:r>
      <w:r w:rsidR="001A7BEF" w:rsidRPr="0080294F">
        <w:rPr>
          <w:sz w:val="28"/>
          <w:szCs w:val="28"/>
        </w:rPr>
        <w:t>АО «Янтарьэнерго» на 2016 год и прогнозных показателей на 2017-2020 годы.</w:t>
      </w: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1. Утвердить скорректированный бизнес </w:t>
      </w:r>
      <w:r w:rsidRPr="006B3136">
        <w:rPr>
          <w:bCs/>
          <w:sz w:val="28"/>
          <w:szCs w:val="28"/>
        </w:rPr>
        <w:noBreakHyphen/>
        <w:t xml:space="preserve"> план АО «Янтарьэнерго», в том числе инвестиционную программу и информацию о ключевых операционных рисках, на </w:t>
      </w:r>
      <w:r w:rsidRPr="006B3136">
        <w:rPr>
          <w:bCs/>
          <w:sz w:val="28"/>
          <w:szCs w:val="28"/>
        </w:rPr>
        <w:lastRenderedPageBreak/>
        <w:t xml:space="preserve">2016 год и принять к сведению прогнозные показатели на период 2017-2020 годы в соответствии с Приложением </w:t>
      </w:r>
      <w:r>
        <w:rPr>
          <w:bCs/>
          <w:sz w:val="28"/>
          <w:szCs w:val="28"/>
        </w:rPr>
        <w:t xml:space="preserve">№ 1 </w:t>
      </w:r>
      <w:r w:rsidRPr="006B3136">
        <w:rPr>
          <w:bCs/>
          <w:sz w:val="28"/>
          <w:szCs w:val="28"/>
        </w:rPr>
        <w:t>к настоящему решению Совета директоров Общества.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2. Поручить Единоличному исполнительному органу АО «Янтарьэнерго»: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3.1.</w:t>
      </w:r>
      <w:r w:rsidRPr="006B3136">
        <w:rPr>
          <w:bCs/>
          <w:sz w:val="28"/>
          <w:szCs w:val="28"/>
        </w:rPr>
        <w:tab/>
        <w:t>обеспечить реализацию дополнительных мероприятий, направленных на повышение эффективности деятельности ПАО «Янтарьэнерго», в том числе на улучшение финансового состояния Общества и снижение в 2016 году убытка от деятельности по передаче электрической энергии за счет: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- повышения операционной и инвестиционной эффективности, повышения показателей </w:t>
      </w:r>
      <w:proofErr w:type="spellStart"/>
      <w:r w:rsidRPr="006B3136">
        <w:rPr>
          <w:bCs/>
          <w:sz w:val="28"/>
          <w:szCs w:val="28"/>
        </w:rPr>
        <w:t>энергоэффективности</w:t>
      </w:r>
      <w:proofErr w:type="spellEnd"/>
      <w:r w:rsidRPr="006B3136">
        <w:rPr>
          <w:bCs/>
          <w:sz w:val="28"/>
          <w:szCs w:val="28"/>
        </w:rPr>
        <w:t xml:space="preserve"> и энергосбережения, надежности и качества электроснабжения;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- урегулирования разногласий с органами тарифного регулирования по итогам принятых тарифно-балансовых решений на 2016 год в части расходов на льготное технологическое присоединение и расходов на покупку электроэнергии в целях компенсации технологических потерь в сетях;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- повышения уровня оплаты за услуги по передаче электрической энергии;</w:t>
      </w:r>
    </w:p>
    <w:p w:rsidR="001A7BEF" w:rsidRPr="006B3136" w:rsidRDefault="001A7BEF" w:rsidP="001A7BEF">
      <w:pPr>
        <w:pStyle w:val="a7"/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- реализации мероприятий Плана мер по повышению эффективности деятельности и улучшению финансово-экономического со</w:t>
      </w:r>
      <w:r w:rsidR="00A37E91">
        <w:rPr>
          <w:bCs/>
          <w:sz w:val="28"/>
          <w:szCs w:val="28"/>
        </w:rPr>
        <w:t xml:space="preserve">стояния                                                 </w:t>
      </w:r>
      <w:r w:rsidRPr="006B3136">
        <w:rPr>
          <w:bCs/>
          <w:sz w:val="28"/>
          <w:szCs w:val="28"/>
        </w:rPr>
        <w:t>АО «Янтарьэнерго»;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- обеспечения в 2018 году формирования и включения в тарифно-балансовые решения с 2019 года </w:t>
      </w:r>
      <w:r w:rsidRPr="006B3136">
        <w:rPr>
          <w:sz w:val="28"/>
          <w:szCs w:val="28"/>
        </w:rPr>
        <w:t>(на очередной долгосрочный период регулирования)</w:t>
      </w:r>
      <w:r w:rsidRPr="006B3136">
        <w:rPr>
          <w:bCs/>
          <w:sz w:val="28"/>
          <w:szCs w:val="28"/>
        </w:rPr>
        <w:t xml:space="preserve"> базового уровня операционных (подконтрольных) расходов, в том числе расходов из прибыли, предусмотренных в бизнес-плане Общества; 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- обеспечения соответствия в бизнес-плане Общества операционных расходов, в том числе расходов из прибыли, уровню, учтенному в тарифно-балансовых решениях в 2017 году и последующие периоды. 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3.2. обеспечить формирование плановых показателей при очередной корректировке бизнес-плана Общества на 2016 год и при формировании бизнес-плана Общества на 2017-2021 гг. с учетом включения эффектов от реализации мероприятий по п. 3.1. настоящего решения.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Срок: ноябрь 2016 г. 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3.3. обеспечить вынесение на рассмотрение Совета директоров Общества скорректированного бизнес-плана на 2016 год с учетом долгосрочной инвестиционной программы Общества на период с 2016 года, утвержденной Министерством энергетики Российской Федерации, в соответствии с порядком, установленным постановлением Правительства Российской Федерации от 01.12.2009 № 977 «Об инвестиционных программах субъектов электроэнергетики»,  в случае ее отличия от параметров, предусмотренных утвержденным бизнес-планом Общества на 2016-2020 годы.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  Срок: 10.11.2016.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5C2880" w:rsidRDefault="00EA7386" w:rsidP="007E58E3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5C2880" w:rsidRDefault="003B3E5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EA7386" w:rsidRPr="005C2880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5C2880" w:rsidRDefault="003B3E5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50E28" w:rsidRPr="0088629E" w:rsidTr="0097160F">
        <w:trPr>
          <w:trHeight w:val="310"/>
        </w:trPr>
        <w:tc>
          <w:tcPr>
            <w:tcW w:w="4585" w:type="dxa"/>
          </w:tcPr>
          <w:p w:rsidR="00150E28" w:rsidRPr="00D10C0C" w:rsidRDefault="00150E28" w:rsidP="007E58E3">
            <w:pPr>
              <w:rPr>
                <w:color w:val="000000"/>
                <w:sz w:val="24"/>
                <w:szCs w:val="24"/>
              </w:rPr>
            </w:pPr>
            <w:r w:rsidRPr="00D10C0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50E28" w:rsidRPr="00D10C0C" w:rsidRDefault="00150E2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0C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A3315" w:rsidRDefault="00CA3315" w:rsidP="00171A4D">
      <w:pPr>
        <w:pStyle w:val="a7"/>
        <w:ind w:left="0"/>
        <w:contextualSpacing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95F21" w:rsidRPr="0080294F" w:rsidRDefault="00171A4D" w:rsidP="00F95F21">
      <w:pPr>
        <w:pStyle w:val="a7"/>
        <w:tabs>
          <w:tab w:val="left" w:pos="708"/>
        </w:tabs>
        <w:ind w:left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A3315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95F21" w:rsidRPr="0080294F">
        <w:rPr>
          <w:color w:val="000000"/>
          <w:sz w:val="28"/>
          <w:szCs w:val="28"/>
        </w:rPr>
        <w:t xml:space="preserve">Об утверждении </w:t>
      </w:r>
      <w:r w:rsidR="00F95F21" w:rsidRPr="0080294F">
        <w:rPr>
          <w:bCs/>
          <w:color w:val="000000"/>
          <w:sz w:val="28"/>
          <w:szCs w:val="28"/>
        </w:rPr>
        <w:t xml:space="preserve">Программы повышения операционной эффективности и сокращения </w:t>
      </w:r>
      <w:proofErr w:type="gramStart"/>
      <w:r w:rsidR="00F95F21" w:rsidRPr="0080294F">
        <w:rPr>
          <w:bCs/>
          <w:color w:val="000000"/>
          <w:sz w:val="28"/>
          <w:szCs w:val="28"/>
        </w:rPr>
        <w:t xml:space="preserve">расходов  </w:t>
      </w:r>
      <w:r w:rsidR="00F95F21" w:rsidRPr="0080294F">
        <w:rPr>
          <w:color w:val="000000"/>
          <w:sz w:val="28"/>
          <w:szCs w:val="28"/>
        </w:rPr>
        <w:t>АО</w:t>
      </w:r>
      <w:proofErr w:type="gramEnd"/>
      <w:r w:rsidR="00F95F21" w:rsidRPr="0080294F">
        <w:rPr>
          <w:color w:val="000000"/>
          <w:sz w:val="28"/>
          <w:szCs w:val="28"/>
        </w:rPr>
        <w:t xml:space="preserve"> «Янтарьэнерго».</w:t>
      </w:r>
    </w:p>
    <w:p w:rsidR="00171A4D" w:rsidRDefault="00171A4D" w:rsidP="00171A4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95F21" w:rsidRPr="006B3136">
        <w:rPr>
          <w:sz w:val="28"/>
          <w:szCs w:val="28"/>
        </w:rPr>
        <w:t xml:space="preserve">Утвердить программу повышения операционной эффективности и сокращения расходов АО «Янтарьэнерго» на 2016-2020 годы с учетом достижения целевого показателя по снижению удельных операционных расходов не менее 3% ежегодно в соответствии с Приложением </w:t>
      </w:r>
      <w:r w:rsidR="00F95F21">
        <w:rPr>
          <w:sz w:val="28"/>
          <w:szCs w:val="28"/>
        </w:rPr>
        <w:t xml:space="preserve">№ 2 </w:t>
      </w:r>
      <w:r w:rsidR="00F95F21" w:rsidRPr="006B3136">
        <w:rPr>
          <w:sz w:val="28"/>
          <w:szCs w:val="28"/>
        </w:rPr>
        <w:t>к настоящему решению Совета директоров Общества.</w:t>
      </w:r>
    </w:p>
    <w:p w:rsidR="00171A4D" w:rsidRPr="0088629E" w:rsidRDefault="00171A4D" w:rsidP="00171A4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171A4D" w:rsidRPr="0088629E" w:rsidTr="0036648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71A4D" w:rsidRPr="0088629E" w:rsidTr="0036648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  <w:tcBorders>
              <w:right w:val="single" w:sz="4" w:space="0" w:color="auto"/>
            </w:tcBorders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5C2880" w:rsidRDefault="00171A4D" w:rsidP="00366486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5C2880" w:rsidRDefault="009C6C97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71A4D" w:rsidRPr="005C2880" w:rsidRDefault="009C6C97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rPr>
          <w:trHeight w:val="310"/>
        </w:trPr>
        <w:tc>
          <w:tcPr>
            <w:tcW w:w="4585" w:type="dxa"/>
          </w:tcPr>
          <w:p w:rsidR="00171A4D" w:rsidRPr="00150E28" w:rsidRDefault="00171A4D" w:rsidP="00366486">
            <w:pPr>
              <w:rPr>
                <w:color w:val="000000"/>
                <w:sz w:val="24"/>
                <w:szCs w:val="24"/>
              </w:rPr>
            </w:pPr>
            <w:r w:rsidRPr="00150E2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71A4D" w:rsidRPr="00150E28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50E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71A4D" w:rsidRDefault="00171A4D" w:rsidP="00171A4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A3315" w:rsidRDefault="00CA3315" w:rsidP="00171A4D">
      <w:pPr>
        <w:pStyle w:val="a7"/>
        <w:ind w:left="0"/>
        <w:contextualSpacing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95F21" w:rsidRPr="0080294F" w:rsidRDefault="00171A4D" w:rsidP="00F95F2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A3315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95F21" w:rsidRPr="0080294F">
        <w:rPr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скорректированного Бизнес-плана ОАО «Калининградская генерирующая компания» на 2016 год и прогнозные показатели на 2017-2020 гг.».</w:t>
      </w:r>
    </w:p>
    <w:p w:rsidR="00972C27" w:rsidRDefault="00972C27" w:rsidP="00A37E9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95F21" w:rsidRDefault="00171A4D" w:rsidP="00A37E9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95F21" w:rsidRDefault="00F95F21" w:rsidP="00F95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1733">
        <w:rPr>
          <w:sz w:val="28"/>
          <w:szCs w:val="28"/>
        </w:rPr>
        <w:t xml:space="preserve">Утвердить скорректированный бизнес-план (в том числе инвестиционную программу) ОАО «Калининградская генерирующая компания» на 2016 год и </w:t>
      </w:r>
      <w:r w:rsidRPr="00196194">
        <w:rPr>
          <w:bCs/>
          <w:sz w:val="28"/>
          <w:szCs w:val="28"/>
        </w:rPr>
        <w:t>принять к сведению прогнозные показатели на период 2017-2020 годы</w:t>
      </w:r>
      <w:r w:rsidRPr="00221733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221733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3 </w:t>
      </w:r>
      <w:r w:rsidRPr="00221733">
        <w:rPr>
          <w:sz w:val="28"/>
          <w:szCs w:val="28"/>
        </w:rPr>
        <w:t>к настоящему решению Совета директоров.</w:t>
      </w:r>
    </w:p>
    <w:p w:rsidR="00F95F21" w:rsidRPr="00196194" w:rsidRDefault="00F95F21" w:rsidP="00F95F2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6194">
        <w:rPr>
          <w:bCs/>
          <w:sz w:val="28"/>
          <w:szCs w:val="28"/>
        </w:rPr>
        <w:t xml:space="preserve">Поручить Единоличному исполнительному </w:t>
      </w:r>
      <w:proofErr w:type="gramStart"/>
      <w:r w:rsidRPr="00196194">
        <w:rPr>
          <w:bCs/>
          <w:sz w:val="28"/>
          <w:szCs w:val="28"/>
        </w:rPr>
        <w:t xml:space="preserve">органу </w:t>
      </w:r>
      <w:r>
        <w:rPr>
          <w:bCs/>
          <w:sz w:val="28"/>
          <w:szCs w:val="28"/>
        </w:rPr>
        <w:t xml:space="preserve"> О</w:t>
      </w:r>
      <w:r w:rsidRPr="00196194">
        <w:rPr>
          <w:bCs/>
          <w:sz w:val="28"/>
          <w:szCs w:val="28"/>
        </w:rPr>
        <w:t>АО</w:t>
      </w:r>
      <w:proofErr w:type="gramEnd"/>
      <w:r w:rsidRPr="00196194">
        <w:rPr>
          <w:bCs/>
          <w:sz w:val="28"/>
          <w:szCs w:val="28"/>
        </w:rPr>
        <w:t xml:space="preserve"> </w:t>
      </w:r>
      <w:r w:rsidRPr="00221733">
        <w:rPr>
          <w:sz w:val="28"/>
          <w:szCs w:val="28"/>
        </w:rPr>
        <w:t>«Калининградская генерирующая компания»</w:t>
      </w:r>
      <w:r>
        <w:rPr>
          <w:bCs/>
          <w:sz w:val="28"/>
          <w:szCs w:val="28"/>
        </w:rPr>
        <w:t xml:space="preserve"> о</w:t>
      </w:r>
      <w:r w:rsidRPr="00196194">
        <w:rPr>
          <w:bCs/>
          <w:sz w:val="28"/>
          <w:szCs w:val="28"/>
        </w:rPr>
        <w:t xml:space="preserve">беспечить реализацию дополнительных мероприятий, направленных на повышение эффективности деятельности </w:t>
      </w:r>
      <w:r>
        <w:rPr>
          <w:bCs/>
          <w:sz w:val="28"/>
          <w:szCs w:val="28"/>
        </w:rPr>
        <w:t xml:space="preserve">ОАО </w:t>
      </w:r>
      <w:r w:rsidRPr="00221733">
        <w:rPr>
          <w:sz w:val="28"/>
          <w:szCs w:val="28"/>
        </w:rPr>
        <w:t>«Калининградская генерирующая компания»</w:t>
      </w:r>
      <w:r w:rsidRPr="00196194">
        <w:rPr>
          <w:bCs/>
          <w:sz w:val="28"/>
          <w:szCs w:val="28"/>
        </w:rPr>
        <w:t xml:space="preserve">, в том числе на улучшение финансового состояния Общества и снижение в 2016 году убытка от деятельности по </w:t>
      </w:r>
      <w:r>
        <w:rPr>
          <w:bCs/>
          <w:sz w:val="28"/>
          <w:szCs w:val="28"/>
        </w:rPr>
        <w:t xml:space="preserve">продаже </w:t>
      </w:r>
      <w:proofErr w:type="spellStart"/>
      <w:r>
        <w:rPr>
          <w:bCs/>
          <w:sz w:val="28"/>
          <w:szCs w:val="28"/>
        </w:rPr>
        <w:t>теплоэнергии</w:t>
      </w:r>
      <w:proofErr w:type="spellEnd"/>
      <w:r>
        <w:rPr>
          <w:bCs/>
          <w:sz w:val="28"/>
          <w:szCs w:val="28"/>
        </w:rPr>
        <w:t>.</w:t>
      </w:r>
    </w:p>
    <w:p w:rsidR="00AC1173" w:rsidRPr="00705E2E" w:rsidRDefault="00AC1173" w:rsidP="00AC1173">
      <w:pPr>
        <w:jc w:val="both"/>
        <w:rPr>
          <w:rFonts w:eastAsia="Calibri"/>
          <w:sz w:val="28"/>
          <w:szCs w:val="28"/>
        </w:rPr>
      </w:pPr>
    </w:p>
    <w:p w:rsidR="00171A4D" w:rsidRDefault="00171A4D" w:rsidP="00171A4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71A4D" w:rsidRPr="0088629E" w:rsidRDefault="00171A4D" w:rsidP="00171A4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171A4D" w:rsidRPr="0088629E" w:rsidTr="0036648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71A4D" w:rsidRPr="0088629E" w:rsidTr="0036648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  <w:tcBorders>
              <w:right w:val="single" w:sz="4" w:space="0" w:color="auto"/>
            </w:tcBorders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5C2880" w:rsidRDefault="00171A4D" w:rsidP="00366486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5C2880" w:rsidRDefault="0065404F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71A4D" w:rsidRPr="005C2880" w:rsidRDefault="00464F72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rPr>
          <w:trHeight w:val="310"/>
        </w:trPr>
        <w:tc>
          <w:tcPr>
            <w:tcW w:w="4585" w:type="dxa"/>
          </w:tcPr>
          <w:p w:rsidR="00171A4D" w:rsidRPr="00D10C0C" w:rsidRDefault="00171A4D" w:rsidP="00366486">
            <w:pPr>
              <w:rPr>
                <w:color w:val="000000"/>
                <w:sz w:val="24"/>
                <w:szCs w:val="24"/>
              </w:rPr>
            </w:pPr>
            <w:r w:rsidRPr="00D10C0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71A4D" w:rsidRPr="00D10C0C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0C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71A4D" w:rsidRDefault="00171A4D" w:rsidP="00171A4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A3315" w:rsidRDefault="00CA3315" w:rsidP="00171A4D">
      <w:pPr>
        <w:pStyle w:val="a7"/>
        <w:ind w:left="0"/>
        <w:contextualSpacing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95F21" w:rsidRPr="0080294F" w:rsidRDefault="00171A4D" w:rsidP="00F95F2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A3315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F95F21" w:rsidRPr="0080294F">
        <w:rPr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скорректированного Бизнес-плана ОАО «Янтарьэнергосбыт» на 2016 год и прогнозные показатели на 2017-2020 гг.».</w:t>
      </w:r>
    </w:p>
    <w:p w:rsidR="00171A4D" w:rsidRDefault="00171A4D" w:rsidP="00171A4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95F21" w:rsidRPr="00E91E4E" w:rsidRDefault="00F95F21" w:rsidP="00F95F21">
      <w:pPr>
        <w:ind w:firstLine="567"/>
        <w:jc w:val="both"/>
        <w:rPr>
          <w:sz w:val="28"/>
          <w:szCs w:val="28"/>
        </w:rPr>
      </w:pPr>
      <w:r w:rsidRPr="00E91E4E">
        <w:rPr>
          <w:sz w:val="28"/>
          <w:szCs w:val="28"/>
        </w:rPr>
        <w:t>Поручить представителям АО «Янтарьэнерго» в Совете директоров ОАО «Янтарьэнергосбыт</w:t>
      </w:r>
      <w:r w:rsidRPr="006B3136">
        <w:rPr>
          <w:sz w:val="28"/>
          <w:szCs w:val="28"/>
        </w:rPr>
        <w:t>» голосовать «За» принятие следующего решения:</w:t>
      </w:r>
      <w:r w:rsidRPr="00E91E4E">
        <w:rPr>
          <w:sz w:val="28"/>
          <w:szCs w:val="28"/>
        </w:rPr>
        <w:t xml:space="preserve"> </w:t>
      </w:r>
    </w:p>
    <w:p w:rsidR="00F95F21" w:rsidRPr="00E91E4E" w:rsidRDefault="00F95F21" w:rsidP="00F95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1E4E">
        <w:rPr>
          <w:sz w:val="28"/>
          <w:szCs w:val="28"/>
        </w:rPr>
        <w:t>Перенести рассмотрение вопроса на более поздний срок.</w:t>
      </w:r>
    </w:p>
    <w:p w:rsidR="00F95F21" w:rsidRDefault="00F95F21" w:rsidP="00F95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91E4E">
        <w:rPr>
          <w:sz w:val="28"/>
          <w:szCs w:val="28"/>
        </w:rPr>
        <w:t xml:space="preserve">Поручить ОАО «Янтарьэнергосбыт» доработать проект скорректированного бизнес-плана </w:t>
      </w:r>
      <w:r>
        <w:rPr>
          <w:sz w:val="28"/>
          <w:szCs w:val="28"/>
        </w:rPr>
        <w:t>на 2016 год</w:t>
      </w:r>
      <w:r w:rsidRPr="00B91086">
        <w:rPr>
          <w:sz w:val="28"/>
          <w:szCs w:val="28"/>
        </w:rPr>
        <w:t xml:space="preserve"> и прогнозных показателей на 2017-2020 гг.</w:t>
      </w:r>
      <w:r>
        <w:rPr>
          <w:sz w:val="28"/>
          <w:szCs w:val="28"/>
        </w:rPr>
        <w:t xml:space="preserve"> </w:t>
      </w:r>
      <w:r w:rsidRPr="00E91E4E">
        <w:rPr>
          <w:sz w:val="28"/>
          <w:szCs w:val="28"/>
        </w:rPr>
        <w:t xml:space="preserve">в целях обеспечения </w:t>
      </w:r>
      <w:proofErr w:type="spellStart"/>
      <w:r w:rsidRPr="00E91E4E">
        <w:rPr>
          <w:sz w:val="28"/>
          <w:szCs w:val="28"/>
        </w:rPr>
        <w:t>непревышения</w:t>
      </w:r>
      <w:proofErr w:type="spellEnd"/>
      <w:r w:rsidRPr="00E91E4E">
        <w:rPr>
          <w:sz w:val="28"/>
          <w:szCs w:val="28"/>
        </w:rPr>
        <w:t xml:space="preserve"> уровня долговой нагрузки относительно параметров ут</w:t>
      </w:r>
      <w:r>
        <w:rPr>
          <w:sz w:val="28"/>
          <w:szCs w:val="28"/>
        </w:rPr>
        <w:t>вержденного бизнес-плана на 2016-2020 годы</w:t>
      </w:r>
      <w:r w:rsidRPr="00E91E4E">
        <w:rPr>
          <w:sz w:val="28"/>
          <w:szCs w:val="28"/>
        </w:rPr>
        <w:t>, а также устранения риска возникновения отрицательной величины чистых активов Общества.</w:t>
      </w:r>
    </w:p>
    <w:p w:rsidR="00F95F21" w:rsidRDefault="00F95F21" w:rsidP="00F95F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91086">
        <w:rPr>
          <w:sz w:val="28"/>
          <w:szCs w:val="28"/>
        </w:rPr>
        <w:t xml:space="preserve">Поручить Генеральному директору Общества обеспечить рассмотрение скорректированного бизнес-плана </w:t>
      </w:r>
      <w:r w:rsidRPr="005967E0">
        <w:rPr>
          <w:sz w:val="28"/>
          <w:szCs w:val="28"/>
        </w:rPr>
        <w:t>ОАО «Янтарьэнергосбыт»</w:t>
      </w:r>
      <w:r w:rsidRPr="00B91086">
        <w:rPr>
          <w:sz w:val="28"/>
          <w:szCs w:val="28"/>
        </w:rPr>
        <w:t xml:space="preserve"> на 2016 год и прогнозных показателей на 2017-2020 гг. Советом директоров Общества не позднее 10.0</w:t>
      </w:r>
      <w:r>
        <w:rPr>
          <w:sz w:val="28"/>
          <w:szCs w:val="28"/>
        </w:rPr>
        <w:t>6</w:t>
      </w:r>
      <w:r w:rsidRPr="00B91086">
        <w:rPr>
          <w:sz w:val="28"/>
          <w:szCs w:val="28"/>
        </w:rPr>
        <w:t>.2016.</w:t>
      </w:r>
    </w:p>
    <w:p w:rsidR="00171A4D" w:rsidRPr="0088629E" w:rsidRDefault="00171A4D" w:rsidP="00171A4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171A4D" w:rsidRPr="0088629E" w:rsidTr="0036648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71A4D" w:rsidRPr="0088629E" w:rsidTr="0036648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71A4D" w:rsidRPr="0088629E" w:rsidRDefault="00171A4D" w:rsidP="0036648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71A4D" w:rsidRPr="0088629E" w:rsidRDefault="00171A4D" w:rsidP="0036648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  <w:tcBorders>
              <w:right w:val="single" w:sz="4" w:space="0" w:color="auto"/>
            </w:tcBorders>
          </w:tcPr>
          <w:p w:rsidR="00171A4D" w:rsidRPr="0088629E" w:rsidRDefault="00171A4D" w:rsidP="0036648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5C2880" w:rsidRDefault="00171A4D" w:rsidP="00366486">
            <w:pPr>
              <w:rPr>
                <w:color w:val="000000"/>
                <w:sz w:val="24"/>
                <w:szCs w:val="24"/>
              </w:rPr>
            </w:pPr>
            <w:r w:rsidRPr="005C288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71A4D" w:rsidRPr="005C2880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2880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71A4D" w:rsidRPr="0088629E" w:rsidTr="00366486">
        <w:trPr>
          <w:trHeight w:val="310"/>
        </w:trPr>
        <w:tc>
          <w:tcPr>
            <w:tcW w:w="4585" w:type="dxa"/>
          </w:tcPr>
          <w:p w:rsidR="00171A4D" w:rsidRPr="00D10C0C" w:rsidRDefault="00171A4D" w:rsidP="00366486">
            <w:pPr>
              <w:rPr>
                <w:color w:val="000000"/>
                <w:sz w:val="24"/>
                <w:szCs w:val="24"/>
              </w:rPr>
            </w:pPr>
            <w:r w:rsidRPr="00D10C0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171A4D" w:rsidRPr="00D10C0C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0C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171A4D" w:rsidRPr="0088629E" w:rsidTr="00366486">
        <w:tc>
          <w:tcPr>
            <w:tcW w:w="4585" w:type="dxa"/>
          </w:tcPr>
          <w:p w:rsidR="00171A4D" w:rsidRPr="0088629E" w:rsidRDefault="00171A4D" w:rsidP="00366486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71A4D" w:rsidRPr="0088629E" w:rsidRDefault="00171A4D" w:rsidP="0036648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71A4D" w:rsidRDefault="00171A4D" w:rsidP="00171A4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86CA0" w:rsidRDefault="0088629E" w:rsidP="00316239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 w:rsidR="00A86CA0">
        <w:rPr>
          <w:rFonts w:eastAsia="Calibri"/>
          <w:b/>
          <w:sz w:val="28"/>
          <w:szCs w:val="28"/>
          <w:lang w:eastAsia="en-US"/>
        </w:rPr>
        <w:t>ы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 w:rsidR="00A86CA0">
        <w:rPr>
          <w:rFonts w:eastAsia="Calibri"/>
          <w:b/>
          <w:sz w:val="28"/>
          <w:szCs w:val="28"/>
          <w:lang w:eastAsia="en-US"/>
        </w:rPr>
        <w:t>я:</w:t>
      </w:r>
    </w:p>
    <w:p w:rsidR="00D110A2" w:rsidRDefault="00A86CA0" w:rsidP="0031623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1. Утвердить скорректированный бизнес </w:t>
      </w:r>
      <w:r w:rsidRPr="006B3136">
        <w:rPr>
          <w:bCs/>
          <w:sz w:val="28"/>
          <w:szCs w:val="28"/>
        </w:rPr>
        <w:noBreakHyphen/>
        <w:t xml:space="preserve"> план АО «Янтарьэнерго», в том числе инвестиционную программу и информацию о ключевых операционных рисках, на </w:t>
      </w:r>
      <w:r w:rsidRPr="006B3136">
        <w:rPr>
          <w:bCs/>
          <w:sz w:val="28"/>
          <w:szCs w:val="28"/>
        </w:rPr>
        <w:lastRenderedPageBreak/>
        <w:t xml:space="preserve">2016 год и принять к сведению прогнозные показатели на период 2017-2020 годы в соответствии с Приложением </w:t>
      </w:r>
      <w:r>
        <w:rPr>
          <w:bCs/>
          <w:sz w:val="28"/>
          <w:szCs w:val="28"/>
        </w:rPr>
        <w:t xml:space="preserve">№ 1 </w:t>
      </w:r>
      <w:r w:rsidRPr="006B3136">
        <w:rPr>
          <w:bCs/>
          <w:sz w:val="28"/>
          <w:szCs w:val="28"/>
        </w:rPr>
        <w:t>к настоящему решению Совета директоров Общества.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2. Поручить Единоличному исполнительному органу АО «Янтарьэнерго»: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3.1.</w:t>
      </w:r>
      <w:r w:rsidRPr="006B3136">
        <w:rPr>
          <w:bCs/>
          <w:sz w:val="28"/>
          <w:szCs w:val="28"/>
        </w:rPr>
        <w:tab/>
        <w:t>обеспечить реализацию дополнительных мероприятий, направленных на повышение эффективности деятельности ПАО «Янтарьэнерго», в том числе на улучшение финансового состояния Общества и снижение в 2016 году убытка от деятельности по передаче электрической энергии за счет: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- повышения операционной и инвестиционной эффективности, повышения показателей </w:t>
      </w:r>
      <w:proofErr w:type="spellStart"/>
      <w:r w:rsidRPr="006B3136">
        <w:rPr>
          <w:bCs/>
          <w:sz w:val="28"/>
          <w:szCs w:val="28"/>
        </w:rPr>
        <w:t>энергоэффективности</w:t>
      </w:r>
      <w:proofErr w:type="spellEnd"/>
      <w:r w:rsidRPr="006B3136">
        <w:rPr>
          <w:bCs/>
          <w:sz w:val="28"/>
          <w:szCs w:val="28"/>
        </w:rPr>
        <w:t xml:space="preserve"> и энергосбережения, надежности и качества электроснабжения;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- урегулирования разногласий с органами тарифного регулирования по итогам принятых тарифно-балансовых решений на 2016 год в части расходов на льготное технологическое присоединение и расходов на покупку электроэнергии в целях компенсации технологических потерь в сетях;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- повышения уровня оплаты за услуги по передаче электрической энергии;</w:t>
      </w:r>
    </w:p>
    <w:p w:rsidR="001A7BEF" w:rsidRPr="006B3136" w:rsidRDefault="001A7BEF" w:rsidP="001A7BEF">
      <w:pPr>
        <w:pStyle w:val="a7"/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- реализации мероприятий Плана мер по повышению эффективности деятельности и улучшению финансово-экономического состояния </w:t>
      </w:r>
      <w:r w:rsidR="00972C27">
        <w:rPr>
          <w:bCs/>
          <w:sz w:val="28"/>
          <w:szCs w:val="28"/>
        </w:rPr>
        <w:t xml:space="preserve">                                                </w:t>
      </w:r>
      <w:r w:rsidRPr="006B3136">
        <w:rPr>
          <w:bCs/>
          <w:sz w:val="28"/>
          <w:szCs w:val="28"/>
        </w:rPr>
        <w:t>АО «Янтарьэнерго»;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- обеспечения в 2018 году формирования и включения в тарифно-балансовые решения с 2019 года </w:t>
      </w:r>
      <w:r w:rsidRPr="006B3136">
        <w:rPr>
          <w:sz w:val="28"/>
          <w:szCs w:val="28"/>
        </w:rPr>
        <w:t>(на очередной долгосрочный период регулирования)</w:t>
      </w:r>
      <w:r w:rsidRPr="006B3136">
        <w:rPr>
          <w:bCs/>
          <w:sz w:val="28"/>
          <w:szCs w:val="28"/>
        </w:rPr>
        <w:t xml:space="preserve"> базового уровня операционных (подконтрольных) расходов, в том числе расходов из прибыли, предусмотренных в бизнес-плане Общества; 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- обеспечения соответствия в бизнес-плане Общества операционных расходов, в том числе расходов из прибыли, уровню, учтенному в тарифно-балансовых решениях в 2017 году и последующие периоды. 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3.2. обеспечить формирование плановых показателей при очередной корректировке бизнес-плана Общества на 2016 год и при формировании бизнес-плана Общества на 2017-2021 гг. с учетом включения эффектов от реализации мероприятий по п. 3.1. настоящего решения.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Срок: ноябрь 2016 г. 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>3.3. обеспечить вынесение на рассмотрение Совета директоров Общества скорректированного бизнес-плана на 2016 год с учетом долгосрочной инвестиционной программы Общества на период с 2016 года, утвержденной Министерством энергетики Российской Федерации, в соответствии с порядком, установленным постановлением Правительства Российской Федерации от 01.12.2009 № 977 «Об инвестиционных программах субъектов электроэнергетики»,  в случае ее отличия от параметров, предусмотренных утвержденным бизнес-планом Общества на 2016-2020 годы.</w:t>
      </w:r>
    </w:p>
    <w:p w:rsidR="001A7BEF" w:rsidRPr="006B3136" w:rsidRDefault="001A7BEF" w:rsidP="001A7BEF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 w:rsidRPr="006B3136">
        <w:rPr>
          <w:bCs/>
          <w:sz w:val="28"/>
          <w:szCs w:val="28"/>
        </w:rPr>
        <w:t xml:space="preserve">  Срок: 10.11.2016.</w:t>
      </w:r>
    </w:p>
    <w:p w:rsidR="00DF0065" w:rsidRDefault="00DF0065" w:rsidP="00316239">
      <w:pPr>
        <w:jc w:val="both"/>
        <w:rPr>
          <w:rFonts w:eastAsiaTheme="minorHAnsi"/>
          <w:sz w:val="28"/>
          <w:szCs w:val="28"/>
          <w:lang w:eastAsia="en-US"/>
        </w:rPr>
      </w:pPr>
    </w:p>
    <w:p w:rsidR="00A86CA0" w:rsidRDefault="00A86CA0" w:rsidP="00A86CA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95F21" w:rsidRPr="006B3136">
        <w:rPr>
          <w:sz w:val="28"/>
          <w:szCs w:val="28"/>
        </w:rPr>
        <w:t xml:space="preserve">Утвердить программу повышения операционной эффективности и сокращения расходов АО «Янтарьэнерго» на 2016-2020 годы с учетом достижения целевого показателя по снижению удельных операционных расходов не менее 3% </w:t>
      </w:r>
      <w:r w:rsidR="00F95F21" w:rsidRPr="006B3136">
        <w:rPr>
          <w:sz w:val="28"/>
          <w:szCs w:val="28"/>
        </w:rPr>
        <w:lastRenderedPageBreak/>
        <w:t xml:space="preserve">ежегодно в соответствии с Приложением </w:t>
      </w:r>
      <w:r w:rsidR="00F95F21">
        <w:rPr>
          <w:sz w:val="28"/>
          <w:szCs w:val="28"/>
        </w:rPr>
        <w:t xml:space="preserve">№ 2 </w:t>
      </w:r>
      <w:r w:rsidR="00F95F21" w:rsidRPr="006B3136">
        <w:rPr>
          <w:sz w:val="28"/>
          <w:szCs w:val="28"/>
        </w:rPr>
        <w:t>к настоящему решению Совета директоров Общества.</w:t>
      </w:r>
    </w:p>
    <w:p w:rsidR="00AC1173" w:rsidRDefault="00AC1173" w:rsidP="00A86CA0">
      <w:pPr>
        <w:jc w:val="both"/>
        <w:rPr>
          <w:rFonts w:eastAsiaTheme="minorHAnsi"/>
          <w:sz w:val="28"/>
          <w:szCs w:val="28"/>
          <w:lang w:eastAsia="en-US"/>
        </w:rPr>
      </w:pPr>
    </w:p>
    <w:p w:rsidR="00AC1173" w:rsidRDefault="00A86CA0" w:rsidP="00AC117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95F21" w:rsidRDefault="00F95F21" w:rsidP="00F95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1733">
        <w:rPr>
          <w:sz w:val="28"/>
          <w:szCs w:val="28"/>
        </w:rPr>
        <w:t xml:space="preserve">Утвердить скорректированный бизнес-план (в том числе инвестиционную программу) ОАО «Калининградская генерирующая компания» на 2016 год и </w:t>
      </w:r>
      <w:r w:rsidRPr="00196194">
        <w:rPr>
          <w:bCs/>
          <w:sz w:val="28"/>
          <w:szCs w:val="28"/>
        </w:rPr>
        <w:t>принять к сведению прогнозные показатели на период 2017-2020 годы</w:t>
      </w:r>
      <w:r w:rsidRPr="00221733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221733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3 </w:t>
      </w:r>
      <w:r w:rsidRPr="00221733">
        <w:rPr>
          <w:sz w:val="28"/>
          <w:szCs w:val="28"/>
        </w:rPr>
        <w:t>к настоящему решению Совета директоров.</w:t>
      </w:r>
    </w:p>
    <w:p w:rsidR="00F95F21" w:rsidRPr="00196194" w:rsidRDefault="00F95F21" w:rsidP="00F95F2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6194">
        <w:rPr>
          <w:bCs/>
          <w:sz w:val="28"/>
          <w:szCs w:val="28"/>
        </w:rPr>
        <w:t xml:space="preserve">Поручить Единоличному исполнительному органу </w:t>
      </w:r>
      <w:r>
        <w:rPr>
          <w:bCs/>
          <w:sz w:val="28"/>
          <w:szCs w:val="28"/>
        </w:rPr>
        <w:t>О</w:t>
      </w:r>
      <w:r w:rsidRPr="00196194">
        <w:rPr>
          <w:bCs/>
          <w:sz w:val="28"/>
          <w:szCs w:val="28"/>
        </w:rPr>
        <w:t xml:space="preserve">АО </w:t>
      </w:r>
      <w:r w:rsidRPr="00221733">
        <w:rPr>
          <w:sz w:val="28"/>
          <w:szCs w:val="28"/>
        </w:rPr>
        <w:t>«Калининградская генерирующая компания»</w:t>
      </w:r>
      <w:r>
        <w:rPr>
          <w:bCs/>
          <w:sz w:val="28"/>
          <w:szCs w:val="28"/>
        </w:rPr>
        <w:t xml:space="preserve"> о</w:t>
      </w:r>
      <w:r w:rsidRPr="00196194">
        <w:rPr>
          <w:bCs/>
          <w:sz w:val="28"/>
          <w:szCs w:val="28"/>
        </w:rPr>
        <w:t xml:space="preserve">беспечить реализацию дополнительных мероприятий, направленных на повышение эффективности деятельности </w:t>
      </w:r>
      <w:r>
        <w:rPr>
          <w:bCs/>
          <w:sz w:val="28"/>
          <w:szCs w:val="28"/>
        </w:rPr>
        <w:t xml:space="preserve">ОАО </w:t>
      </w:r>
      <w:r w:rsidRPr="00221733">
        <w:rPr>
          <w:sz w:val="28"/>
          <w:szCs w:val="28"/>
        </w:rPr>
        <w:t>«Калининградская генерирующая компания»</w:t>
      </w:r>
      <w:r w:rsidRPr="00196194">
        <w:rPr>
          <w:bCs/>
          <w:sz w:val="28"/>
          <w:szCs w:val="28"/>
        </w:rPr>
        <w:t xml:space="preserve">, в том числе на улучшение финансового состояния Общества и снижение в 2016 году убытка от деятельности по </w:t>
      </w:r>
      <w:r>
        <w:rPr>
          <w:bCs/>
          <w:sz w:val="28"/>
          <w:szCs w:val="28"/>
        </w:rPr>
        <w:t xml:space="preserve">продаже </w:t>
      </w:r>
      <w:proofErr w:type="spellStart"/>
      <w:r>
        <w:rPr>
          <w:bCs/>
          <w:sz w:val="28"/>
          <w:szCs w:val="28"/>
        </w:rPr>
        <w:t>теплоэнергии</w:t>
      </w:r>
      <w:proofErr w:type="spellEnd"/>
      <w:r>
        <w:rPr>
          <w:bCs/>
          <w:sz w:val="28"/>
          <w:szCs w:val="28"/>
        </w:rPr>
        <w:t>.</w:t>
      </w:r>
    </w:p>
    <w:p w:rsidR="00F95F21" w:rsidRPr="00705E2E" w:rsidRDefault="00F95F21" w:rsidP="00AC1173">
      <w:pPr>
        <w:jc w:val="both"/>
        <w:rPr>
          <w:rFonts w:eastAsia="Calibri"/>
          <w:sz w:val="28"/>
          <w:szCs w:val="28"/>
        </w:rPr>
      </w:pPr>
    </w:p>
    <w:p w:rsidR="00A86CA0" w:rsidRDefault="00A86CA0" w:rsidP="00A86CA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72C27" w:rsidRPr="00E91E4E" w:rsidRDefault="00972C27" w:rsidP="00972C27">
      <w:pPr>
        <w:ind w:firstLine="567"/>
        <w:jc w:val="both"/>
        <w:rPr>
          <w:sz w:val="28"/>
          <w:szCs w:val="28"/>
        </w:rPr>
      </w:pPr>
      <w:r w:rsidRPr="00E91E4E">
        <w:rPr>
          <w:sz w:val="28"/>
          <w:szCs w:val="28"/>
        </w:rPr>
        <w:t>Поручить представителям АО «Янтарьэнерго» в Совете директоров ОАО «Янтарьэнергосбыт</w:t>
      </w:r>
      <w:r w:rsidRPr="006B3136">
        <w:rPr>
          <w:sz w:val="28"/>
          <w:szCs w:val="28"/>
        </w:rPr>
        <w:t>» голосовать «За» принятие следующего решения:</w:t>
      </w:r>
      <w:r w:rsidRPr="00E91E4E">
        <w:rPr>
          <w:sz w:val="28"/>
          <w:szCs w:val="28"/>
        </w:rPr>
        <w:t xml:space="preserve"> </w:t>
      </w:r>
    </w:p>
    <w:p w:rsidR="00972C27" w:rsidRPr="00E91E4E" w:rsidRDefault="00972C27" w:rsidP="00972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1E4E">
        <w:rPr>
          <w:sz w:val="28"/>
          <w:szCs w:val="28"/>
        </w:rPr>
        <w:t>Перенести рассмотрение вопроса на более поздний срок.</w:t>
      </w:r>
    </w:p>
    <w:p w:rsidR="00972C27" w:rsidRDefault="00972C27" w:rsidP="00972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91E4E">
        <w:rPr>
          <w:sz w:val="28"/>
          <w:szCs w:val="28"/>
        </w:rPr>
        <w:t xml:space="preserve">Поручить ОАО «Янтарьэнергосбыт» доработать проект скорректированного бизнес-плана </w:t>
      </w:r>
      <w:r>
        <w:rPr>
          <w:sz w:val="28"/>
          <w:szCs w:val="28"/>
        </w:rPr>
        <w:t>на 2016 год</w:t>
      </w:r>
      <w:r w:rsidRPr="00B91086">
        <w:rPr>
          <w:sz w:val="28"/>
          <w:szCs w:val="28"/>
        </w:rPr>
        <w:t xml:space="preserve"> и прогнозных показателей на 2017-2020 гг.</w:t>
      </w:r>
      <w:r>
        <w:rPr>
          <w:sz w:val="28"/>
          <w:szCs w:val="28"/>
        </w:rPr>
        <w:t xml:space="preserve"> </w:t>
      </w:r>
      <w:r w:rsidRPr="00E91E4E">
        <w:rPr>
          <w:sz w:val="28"/>
          <w:szCs w:val="28"/>
        </w:rPr>
        <w:t xml:space="preserve">в целях обеспечения </w:t>
      </w:r>
      <w:proofErr w:type="spellStart"/>
      <w:r w:rsidRPr="00E91E4E">
        <w:rPr>
          <w:sz w:val="28"/>
          <w:szCs w:val="28"/>
        </w:rPr>
        <w:t>непревышения</w:t>
      </w:r>
      <w:proofErr w:type="spellEnd"/>
      <w:r w:rsidRPr="00E91E4E">
        <w:rPr>
          <w:sz w:val="28"/>
          <w:szCs w:val="28"/>
        </w:rPr>
        <w:t xml:space="preserve"> уровня долговой нагрузки относительно параметров ут</w:t>
      </w:r>
      <w:r>
        <w:rPr>
          <w:sz w:val="28"/>
          <w:szCs w:val="28"/>
        </w:rPr>
        <w:t>вержденного бизнес-плана на 2016-2020 годы</w:t>
      </w:r>
      <w:r w:rsidRPr="00E91E4E">
        <w:rPr>
          <w:sz w:val="28"/>
          <w:szCs w:val="28"/>
        </w:rPr>
        <w:t>, а также устранения риска возникновения отрицательной величины чистых активов Общества.</w:t>
      </w:r>
    </w:p>
    <w:p w:rsidR="00972C27" w:rsidRDefault="00972C27" w:rsidP="00972C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91086">
        <w:rPr>
          <w:sz w:val="28"/>
          <w:szCs w:val="28"/>
        </w:rPr>
        <w:t xml:space="preserve">Поручить Генеральному директору Общества обеспечить рассмотрение скорректированного бизнес-плана </w:t>
      </w:r>
      <w:r w:rsidRPr="005967E0">
        <w:rPr>
          <w:sz w:val="28"/>
          <w:szCs w:val="28"/>
        </w:rPr>
        <w:t>ОАО «Янтарьэнергосбыт»</w:t>
      </w:r>
      <w:r w:rsidRPr="00B91086">
        <w:rPr>
          <w:sz w:val="28"/>
          <w:szCs w:val="28"/>
        </w:rPr>
        <w:t xml:space="preserve"> на 2016 год и прогнозных показателей на 2017-2020 гг. Советом директоров Общества не позднее 10.0</w:t>
      </w:r>
      <w:r>
        <w:rPr>
          <w:sz w:val="28"/>
          <w:szCs w:val="28"/>
        </w:rPr>
        <w:t>6</w:t>
      </w:r>
      <w:r w:rsidRPr="00B91086">
        <w:rPr>
          <w:sz w:val="28"/>
          <w:szCs w:val="28"/>
        </w:rPr>
        <w:t>.2016.</w:t>
      </w: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1039CA" w:rsidRDefault="001039CA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945D2E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945D2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879F7">
        <w:rPr>
          <w:rFonts w:eastAsiaTheme="minorHAnsi"/>
          <w:bCs/>
          <w:color w:val="000000"/>
          <w:sz w:val="28"/>
          <w:szCs w:val="28"/>
          <w:lang w:eastAsia="en-US"/>
        </w:rPr>
        <w:t>27</w:t>
      </w:r>
      <w:r w:rsidR="00945D2E" w:rsidRPr="00945D2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3C30">
        <w:rPr>
          <w:rFonts w:eastAsiaTheme="minorHAnsi"/>
          <w:bCs/>
          <w:color w:val="000000"/>
          <w:sz w:val="28"/>
          <w:szCs w:val="28"/>
          <w:lang w:eastAsia="en-US"/>
        </w:rPr>
        <w:t>мая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A381C" w:rsidRDefault="00EA381C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039CA" w:rsidRDefault="001039C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72C27" w:rsidRDefault="00972C2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039CA" w:rsidRDefault="001039CA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039CA" w:rsidRDefault="001039CA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039CA" w:rsidRDefault="001039CA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039CA" w:rsidRDefault="001039CA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4A5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B6C"/>
    <w:multiLevelType w:val="hybridMultilevel"/>
    <w:tmpl w:val="2642FEE8"/>
    <w:lvl w:ilvl="0" w:tplc="E890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310"/>
    <w:multiLevelType w:val="hybridMultilevel"/>
    <w:tmpl w:val="F69E98BA"/>
    <w:lvl w:ilvl="0" w:tplc="C7F0C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09C"/>
    <w:multiLevelType w:val="hybridMultilevel"/>
    <w:tmpl w:val="880CCEF2"/>
    <w:lvl w:ilvl="0" w:tplc="D47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3FD2"/>
    <w:multiLevelType w:val="hybridMultilevel"/>
    <w:tmpl w:val="A73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4249"/>
    <w:multiLevelType w:val="multilevel"/>
    <w:tmpl w:val="638661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A87258"/>
    <w:multiLevelType w:val="hybridMultilevel"/>
    <w:tmpl w:val="CCE63FB4"/>
    <w:lvl w:ilvl="0" w:tplc="8DC8D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4743C83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4" w15:restartNumberingAfterBreak="0">
    <w:nsid w:val="261E0443"/>
    <w:multiLevelType w:val="hybridMultilevel"/>
    <w:tmpl w:val="3746F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47D3"/>
    <w:multiLevelType w:val="hybridMultilevel"/>
    <w:tmpl w:val="444C8150"/>
    <w:lvl w:ilvl="0" w:tplc="AC6C6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A567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6417C9"/>
    <w:multiLevelType w:val="hybridMultilevel"/>
    <w:tmpl w:val="0052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5B18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20" w15:restartNumberingAfterBreak="0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F77F7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73617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91588"/>
    <w:multiLevelType w:val="multilevel"/>
    <w:tmpl w:val="74208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DAF10B6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4C1786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BD797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86E5594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4A765AB3"/>
    <w:multiLevelType w:val="hybridMultilevel"/>
    <w:tmpl w:val="9C3E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C571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46F5C12"/>
    <w:multiLevelType w:val="multilevel"/>
    <w:tmpl w:val="ED4AB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87F3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8E91A6B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D6CC8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B3F79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8" w15:restartNumberingAfterBreak="0">
    <w:nsid w:val="62E12A21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D756695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1" w15:restartNumberingAfterBreak="0">
    <w:nsid w:val="6D9651E6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E25638A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6E923584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B418B7"/>
    <w:multiLevelType w:val="hybridMultilevel"/>
    <w:tmpl w:val="A8B4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0"/>
  </w:num>
  <w:num w:numId="3">
    <w:abstractNumId w:val="15"/>
  </w:num>
  <w:num w:numId="4">
    <w:abstractNumId w:val="35"/>
  </w:num>
  <w:num w:numId="5">
    <w:abstractNumId w:val="1"/>
  </w:num>
  <w:num w:numId="6">
    <w:abstractNumId w:val="5"/>
  </w:num>
  <w:num w:numId="7">
    <w:abstractNumId w:val="32"/>
  </w:num>
  <w:num w:numId="8">
    <w:abstractNumId w:val="39"/>
  </w:num>
  <w:num w:numId="9">
    <w:abstractNumId w:val="12"/>
  </w:num>
  <w:num w:numId="10">
    <w:abstractNumId w:val="24"/>
  </w:num>
  <w:num w:numId="11">
    <w:abstractNumId w:val="7"/>
  </w:num>
  <w:num w:numId="12">
    <w:abstractNumId w:val="8"/>
  </w:num>
  <w:num w:numId="13">
    <w:abstractNumId w:val="18"/>
  </w:num>
  <w:num w:numId="14">
    <w:abstractNumId w:val="4"/>
  </w:num>
  <w:num w:numId="15">
    <w:abstractNumId w:val="9"/>
  </w:num>
  <w:num w:numId="16">
    <w:abstractNumId w:val="42"/>
  </w:num>
  <w:num w:numId="17">
    <w:abstractNumId w:val="41"/>
  </w:num>
  <w:num w:numId="18">
    <w:abstractNumId w:val="11"/>
  </w:num>
  <w:num w:numId="19">
    <w:abstractNumId w:val="16"/>
  </w:num>
  <w:num w:numId="20">
    <w:abstractNumId w:val="6"/>
  </w:num>
  <w:num w:numId="21">
    <w:abstractNumId w:val="2"/>
  </w:num>
  <w:num w:numId="22">
    <w:abstractNumId w:val="23"/>
  </w:num>
  <w:num w:numId="23">
    <w:abstractNumId w:val="37"/>
  </w:num>
  <w:num w:numId="24">
    <w:abstractNumId w:val="10"/>
  </w:num>
  <w:num w:numId="25">
    <w:abstractNumId w:val="40"/>
  </w:num>
  <w:num w:numId="26">
    <w:abstractNumId w:val="27"/>
  </w:num>
  <w:num w:numId="27">
    <w:abstractNumId w:val="30"/>
  </w:num>
  <w:num w:numId="28">
    <w:abstractNumId w:val="28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19"/>
  </w:num>
  <w:num w:numId="34">
    <w:abstractNumId w:val="1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</w:num>
  <w:num w:numId="38">
    <w:abstractNumId w:val="31"/>
  </w:num>
  <w:num w:numId="39">
    <w:abstractNumId w:val="38"/>
  </w:num>
  <w:num w:numId="40">
    <w:abstractNumId w:val="0"/>
    <w:lvlOverride w:ilvl="0">
      <w:lvl w:ilvl="0">
        <w:start w:val="1"/>
        <w:numFmt w:val="decimal"/>
        <w:lvlText w:val="%1."/>
        <w:lvlJc w:val="left"/>
        <w:pPr>
          <w:ind w:left="1068" w:hanging="50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6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25"/>
  </w:num>
  <w:num w:numId="47">
    <w:abstractNumId w:val="3"/>
  </w:num>
  <w:num w:numId="48">
    <w:abstractNumId w:val="29"/>
  </w:num>
  <w:num w:numId="49">
    <w:abstractNumId w:val="14"/>
  </w:num>
  <w:num w:numId="50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5DB9"/>
    <w:rsid w:val="000076D4"/>
    <w:rsid w:val="0001718E"/>
    <w:rsid w:val="000254EF"/>
    <w:rsid w:val="00025E0F"/>
    <w:rsid w:val="00027917"/>
    <w:rsid w:val="00033B1D"/>
    <w:rsid w:val="00036BF7"/>
    <w:rsid w:val="0008357F"/>
    <w:rsid w:val="000948C4"/>
    <w:rsid w:val="00094C45"/>
    <w:rsid w:val="00095778"/>
    <w:rsid w:val="000B4F00"/>
    <w:rsid w:val="000B7858"/>
    <w:rsid w:val="000D3273"/>
    <w:rsid w:val="000D6959"/>
    <w:rsid w:val="000D79A1"/>
    <w:rsid w:val="000D7FC3"/>
    <w:rsid w:val="001039CA"/>
    <w:rsid w:val="0010666B"/>
    <w:rsid w:val="001254F4"/>
    <w:rsid w:val="00135D9F"/>
    <w:rsid w:val="00150E28"/>
    <w:rsid w:val="0016265E"/>
    <w:rsid w:val="0016289B"/>
    <w:rsid w:val="0016293B"/>
    <w:rsid w:val="00171A4D"/>
    <w:rsid w:val="00172762"/>
    <w:rsid w:val="001868C9"/>
    <w:rsid w:val="001A2763"/>
    <w:rsid w:val="001A28BE"/>
    <w:rsid w:val="001A7BEF"/>
    <w:rsid w:val="001B0B5C"/>
    <w:rsid w:val="001C1F24"/>
    <w:rsid w:val="001C299B"/>
    <w:rsid w:val="001C6AFA"/>
    <w:rsid w:val="001F2BD5"/>
    <w:rsid w:val="00211EFE"/>
    <w:rsid w:val="00230070"/>
    <w:rsid w:val="002405AC"/>
    <w:rsid w:val="00241893"/>
    <w:rsid w:val="00241CE2"/>
    <w:rsid w:val="00242261"/>
    <w:rsid w:val="00245DFD"/>
    <w:rsid w:val="002464CD"/>
    <w:rsid w:val="002571CD"/>
    <w:rsid w:val="00272EA8"/>
    <w:rsid w:val="0028233A"/>
    <w:rsid w:val="002A6EB5"/>
    <w:rsid w:val="002C31F1"/>
    <w:rsid w:val="002D3C1F"/>
    <w:rsid w:val="002E525D"/>
    <w:rsid w:val="002E76F2"/>
    <w:rsid w:val="002F5403"/>
    <w:rsid w:val="003037EC"/>
    <w:rsid w:val="00303F3F"/>
    <w:rsid w:val="003123DB"/>
    <w:rsid w:val="00313C30"/>
    <w:rsid w:val="00316239"/>
    <w:rsid w:val="00333BBE"/>
    <w:rsid w:val="00335067"/>
    <w:rsid w:val="003412F4"/>
    <w:rsid w:val="003658A7"/>
    <w:rsid w:val="00366C82"/>
    <w:rsid w:val="00370B06"/>
    <w:rsid w:val="00377F1E"/>
    <w:rsid w:val="0038103E"/>
    <w:rsid w:val="00382EE5"/>
    <w:rsid w:val="003A0CA3"/>
    <w:rsid w:val="003A364F"/>
    <w:rsid w:val="003A3B6A"/>
    <w:rsid w:val="003B0B09"/>
    <w:rsid w:val="003B3E57"/>
    <w:rsid w:val="003C026E"/>
    <w:rsid w:val="003D7CCA"/>
    <w:rsid w:val="003E078D"/>
    <w:rsid w:val="003E48BD"/>
    <w:rsid w:val="003E4A85"/>
    <w:rsid w:val="004005D2"/>
    <w:rsid w:val="00405F2D"/>
    <w:rsid w:val="00414638"/>
    <w:rsid w:val="004234DD"/>
    <w:rsid w:val="00427FC7"/>
    <w:rsid w:val="00464F72"/>
    <w:rsid w:val="00472F00"/>
    <w:rsid w:val="00497A8B"/>
    <w:rsid w:val="004A6232"/>
    <w:rsid w:val="004B5B4E"/>
    <w:rsid w:val="004E0ED0"/>
    <w:rsid w:val="004E5FAA"/>
    <w:rsid w:val="004F4248"/>
    <w:rsid w:val="00501E26"/>
    <w:rsid w:val="00504AD4"/>
    <w:rsid w:val="00513366"/>
    <w:rsid w:val="00516E1A"/>
    <w:rsid w:val="00522308"/>
    <w:rsid w:val="005250BC"/>
    <w:rsid w:val="00536C4E"/>
    <w:rsid w:val="005413C1"/>
    <w:rsid w:val="00551AFE"/>
    <w:rsid w:val="00554EE4"/>
    <w:rsid w:val="00565EF4"/>
    <w:rsid w:val="00570C08"/>
    <w:rsid w:val="00574BD7"/>
    <w:rsid w:val="00583052"/>
    <w:rsid w:val="0058430F"/>
    <w:rsid w:val="00591A4F"/>
    <w:rsid w:val="00593C3D"/>
    <w:rsid w:val="005A4C4E"/>
    <w:rsid w:val="005B1FAE"/>
    <w:rsid w:val="005B7333"/>
    <w:rsid w:val="005C2880"/>
    <w:rsid w:val="005C2920"/>
    <w:rsid w:val="005C42A1"/>
    <w:rsid w:val="005F1EC3"/>
    <w:rsid w:val="005F302B"/>
    <w:rsid w:val="005F7D8F"/>
    <w:rsid w:val="0060134B"/>
    <w:rsid w:val="00602843"/>
    <w:rsid w:val="006040CA"/>
    <w:rsid w:val="006132A2"/>
    <w:rsid w:val="006213EB"/>
    <w:rsid w:val="006319EF"/>
    <w:rsid w:val="00644919"/>
    <w:rsid w:val="00650A73"/>
    <w:rsid w:val="00652324"/>
    <w:rsid w:val="0065404F"/>
    <w:rsid w:val="00665062"/>
    <w:rsid w:val="006711CA"/>
    <w:rsid w:val="006879F7"/>
    <w:rsid w:val="00694FF6"/>
    <w:rsid w:val="006A5BAE"/>
    <w:rsid w:val="006B1901"/>
    <w:rsid w:val="006B3251"/>
    <w:rsid w:val="006F34F8"/>
    <w:rsid w:val="006F71A4"/>
    <w:rsid w:val="00700BBD"/>
    <w:rsid w:val="00705517"/>
    <w:rsid w:val="00717D31"/>
    <w:rsid w:val="00722659"/>
    <w:rsid w:val="00745E4C"/>
    <w:rsid w:val="0075322D"/>
    <w:rsid w:val="00764B47"/>
    <w:rsid w:val="0077033A"/>
    <w:rsid w:val="007751B7"/>
    <w:rsid w:val="00785786"/>
    <w:rsid w:val="007A526E"/>
    <w:rsid w:val="007A54F9"/>
    <w:rsid w:val="007A77E9"/>
    <w:rsid w:val="007B0AFC"/>
    <w:rsid w:val="007B72DF"/>
    <w:rsid w:val="007E1DC7"/>
    <w:rsid w:val="007E58E3"/>
    <w:rsid w:val="007F60EF"/>
    <w:rsid w:val="0081253F"/>
    <w:rsid w:val="00836903"/>
    <w:rsid w:val="00837E4A"/>
    <w:rsid w:val="0085069B"/>
    <w:rsid w:val="008534E6"/>
    <w:rsid w:val="00866EA3"/>
    <w:rsid w:val="00874CBD"/>
    <w:rsid w:val="0088629E"/>
    <w:rsid w:val="00890F4D"/>
    <w:rsid w:val="00896F9D"/>
    <w:rsid w:val="008A6403"/>
    <w:rsid w:val="008B0D62"/>
    <w:rsid w:val="008C018B"/>
    <w:rsid w:val="008D17EA"/>
    <w:rsid w:val="008D1F52"/>
    <w:rsid w:val="008E3BA0"/>
    <w:rsid w:val="009032DA"/>
    <w:rsid w:val="0092186E"/>
    <w:rsid w:val="00941254"/>
    <w:rsid w:val="00941A96"/>
    <w:rsid w:val="00945D2E"/>
    <w:rsid w:val="00957BCC"/>
    <w:rsid w:val="00964900"/>
    <w:rsid w:val="00972C27"/>
    <w:rsid w:val="0099594A"/>
    <w:rsid w:val="009A71E5"/>
    <w:rsid w:val="009B0D70"/>
    <w:rsid w:val="009B2AA0"/>
    <w:rsid w:val="009C6C97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342EE"/>
    <w:rsid w:val="00A37681"/>
    <w:rsid w:val="00A37E91"/>
    <w:rsid w:val="00A459AD"/>
    <w:rsid w:val="00A45A95"/>
    <w:rsid w:val="00A52696"/>
    <w:rsid w:val="00A54C6A"/>
    <w:rsid w:val="00A62758"/>
    <w:rsid w:val="00A63DCB"/>
    <w:rsid w:val="00A76422"/>
    <w:rsid w:val="00A80807"/>
    <w:rsid w:val="00A82D7D"/>
    <w:rsid w:val="00A86CA0"/>
    <w:rsid w:val="00A91A92"/>
    <w:rsid w:val="00A92194"/>
    <w:rsid w:val="00AB1187"/>
    <w:rsid w:val="00AC1173"/>
    <w:rsid w:val="00AC23DB"/>
    <w:rsid w:val="00AD443E"/>
    <w:rsid w:val="00AE2A88"/>
    <w:rsid w:val="00AE611C"/>
    <w:rsid w:val="00AF03ED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529F"/>
    <w:rsid w:val="00B801B5"/>
    <w:rsid w:val="00B815E6"/>
    <w:rsid w:val="00B86DF1"/>
    <w:rsid w:val="00B91B46"/>
    <w:rsid w:val="00B943B9"/>
    <w:rsid w:val="00BA619A"/>
    <w:rsid w:val="00BC1202"/>
    <w:rsid w:val="00BC35BE"/>
    <w:rsid w:val="00BC431F"/>
    <w:rsid w:val="00BD051A"/>
    <w:rsid w:val="00BE0432"/>
    <w:rsid w:val="00BF42BA"/>
    <w:rsid w:val="00BF4838"/>
    <w:rsid w:val="00BF6A03"/>
    <w:rsid w:val="00C1147A"/>
    <w:rsid w:val="00C276D1"/>
    <w:rsid w:val="00C34372"/>
    <w:rsid w:val="00C52DF4"/>
    <w:rsid w:val="00C70FCF"/>
    <w:rsid w:val="00C85C44"/>
    <w:rsid w:val="00C9053F"/>
    <w:rsid w:val="00CA331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63F0"/>
    <w:rsid w:val="00D10C0C"/>
    <w:rsid w:val="00D110A2"/>
    <w:rsid w:val="00D132A9"/>
    <w:rsid w:val="00D1619F"/>
    <w:rsid w:val="00D27A5F"/>
    <w:rsid w:val="00D5192D"/>
    <w:rsid w:val="00D74B33"/>
    <w:rsid w:val="00D7669C"/>
    <w:rsid w:val="00D813DC"/>
    <w:rsid w:val="00DA6651"/>
    <w:rsid w:val="00DB2504"/>
    <w:rsid w:val="00DB356A"/>
    <w:rsid w:val="00DB54C6"/>
    <w:rsid w:val="00DB6DC2"/>
    <w:rsid w:val="00DB7CA7"/>
    <w:rsid w:val="00DC21A4"/>
    <w:rsid w:val="00DD280E"/>
    <w:rsid w:val="00DD728E"/>
    <w:rsid w:val="00DE7B0B"/>
    <w:rsid w:val="00DF0065"/>
    <w:rsid w:val="00E02000"/>
    <w:rsid w:val="00E12D89"/>
    <w:rsid w:val="00E13951"/>
    <w:rsid w:val="00E15A72"/>
    <w:rsid w:val="00E27D09"/>
    <w:rsid w:val="00E32128"/>
    <w:rsid w:val="00E62EF0"/>
    <w:rsid w:val="00E63D55"/>
    <w:rsid w:val="00E737D8"/>
    <w:rsid w:val="00E804FE"/>
    <w:rsid w:val="00E80B43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B4540"/>
    <w:rsid w:val="00EC235B"/>
    <w:rsid w:val="00ED0A72"/>
    <w:rsid w:val="00ED0CBA"/>
    <w:rsid w:val="00EF2069"/>
    <w:rsid w:val="00EF29B3"/>
    <w:rsid w:val="00EF445F"/>
    <w:rsid w:val="00EF5362"/>
    <w:rsid w:val="00EF7B3B"/>
    <w:rsid w:val="00F02025"/>
    <w:rsid w:val="00F165EB"/>
    <w:rsid w:val="00F2099E"/>
    <w:rsid w:val="00F20A5B"/>
    <w:rsid w:val="00F23A47"/>
    <w:rsid w:val="00F259C3"/>
    <w:rsid w:val="00F27742"/>
    <w:rsid w:val="00F326CB"/>
    <w:rsid w:val="00F3536C"/>
    <w:rsid w:val="00F366AD"/>
    <w:rsid w:val="00F51E24"/>
    <w:rsid w:val="00F60152"/>
    <w:rsid w:val="00F7022F"/>
    <w:rsid w:val="00F71BDF"/>
    <w:rsid w:val="00F87723"/>
    <w:rsid w:val="00F95F21"/>
    <w:rsid w:val="00FB5273"/>
    <w:rsid w:val="00FC2290"/>
    <w:rsid w:val="00FC37A9"/>
    <w:rsid w:val="00FC42F6"/>
    <w:rsid w:val="00FC4E17"/>
    <w:rsid w:val="00FC6050"/>
    <w:rsid w:val="00FD04AD"/>
    <w:rsid w:val="00FD0F35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83AD-EC9E-435F-BC75-2A907F29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35</cp:revision>
  <cp:lastPrinted>2016-05-27T12:22:00Z</cp:lastPrinted>
  <dcterms:created xsi:type="dcterms:W3CDTF">2016-02-11T09:53:00Z</dcterms:created>
  <dcterms:modified xsi:type="dcterms:W3CDTF">2016-05-27T12:33:00Z</dcterms:modified>
</cp:coreProperties>
</file>