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DE2512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DE2512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2512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DE2512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DE2512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DE2512" w:rsidRDefault="006063CD" w:rsidP="00F82E59">
      <w:pPr>
        <w:contextualSpacing/>
      </w:pPr>
    </w:p>
    <w:p w:rsidR="00A16A29" w:rsidRPr="00DE2512" w:rsidRDefault="00A16A29" w:rsidP="00F82E5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DE2512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DE2512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DE2512">
        <w:rPr>
          <w:rFonts w:eastAsiaTheme="minorHAnsi"/>
          <w:sz w:val="28"/>
          <w:szCs w:val="28"/>
          <w:lang w:eastAsia="en-US"/>
        </w:rPr>
        <w:t>Россети Янтарь</w:t>
      </w:r>
      <w:r w:rsidRPr="00DE2512">
        <w:rPr>
          <w:rFonts w:eastAsiaTheme="minorHAnsi"/>
          <w:sz w:val="28"/>
          <w:szCs w:val="28"/>
          <w:lang w:eastAsia="en-US"/>
        </w:rPr>
        <w:t>»</w:t>
      </w:r>
    </w:p>
    <w:p w:rsidR="00FE76E2" w:rsidRPr="00DE2512" w:rsidRDefault="00FE76E2" w:rsidP="00F82E5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DE2512" w:rsidRDefault="009635E5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Cs/>
          <w:sz w:val="28"/>
          <w:szCs w:val="28"/>
          <w:lang w:eastAsia="en-US"/>
        </w:rPr>
        <w:t>05</w:t>
      </w:r>
      <w:r w:rsidR="00F63A5E" w:rsidRPr="00DE2512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DE2512">
        <w:rPr>
          <w:rFonts w:eastAsiaTheme="minorHAnsi"/>
          <w:bCs/>
          <w:sz w:val="28"/>
          <w:szCs w:val="28"/>
          <w:lang w:eastAsia="en-US"/>
        </w:rPr>
        <w:t>0</w:t>
      </w:r>
      <w:r w:rsidRPr="00DE2512">
        <w:rPr>
          <w:rFonts w:eastAsiaTheme="minorHAnsi"/>
          <w:bCs/>
          <w:sz w:val="28"/>
          <w:szCs w:val="28"/>
          <w:lang w:eastAsia="en-US"/>
        </w:rPr>
        <w:t>6</w:t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DE2512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ab/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ab/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ab/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ab/>
      </w:r>
      <w:r w:rsidR="00C54022" w:rsidRPr="00DE2512">
        <w:rPr>
          <w:rFonts w:eastAsiaTheme="minorHAnsi"/>
          <w:bCs/>
          <w:sz w:val="28"/>
          <w:szCs w:val="28"/>
          <w:lang w:eastAsia="en-US"/>
        </w:rPr>
        <w:tab/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ab/>
      </w:r>
      <w:r w:rsidR="00757019" w:rsidRPr="00DE2512">
        <w:rPr>
          <w:rFonts w:eastAsiaTheme="minorHAnsi"/>
          <w:bCs/>
          <w:sz w:val="28"/>
          <w:szCs w:val="28"/>
          <w:lang w:eastAsia="en-US"/>
        </w:rPr>
        <w:tab/>
      </w:r>
      <w:r w:rsidR="00875184" w:rsidRPr="00DE2512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DE2512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DE2512">
        <w:rPr>
          <w:rFonts w:eastAsiaTheme="minorHAnsi"/>
          <w:bCs/>
          <w:sz w:val="28"/>
          <w:szCs w:val="28"/>
          <w:lang w:eastAsia="en-US"/>
        </w:rPr>
        <w:t>2</w:t>
      </w:r>
      <w:r w:rsidRPr="00DE2512">
        <w:rPr>
          <w:rFonts w:eastAsiaTheme="minorHAnsi"/>
          <w:bCs/>
          <w:sz w:val="28"/>
          <w:szCs w:val="28"/>
          <w:lang w:eastAsia="en-US"/>
        </w:rPr>
        <w:t>7</w:t>
      </w:r>
    </w:p>
    <w:p w:rsidR="00FE76E2" w:rsidRPr="00DE2512" w:rsidRDefault="00FE76E2" w:rsidP="00F82E5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DE2512" w:rsidRDefault="00FE76E2" w:rsidP="00F82E5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DE2512">
        <w:rPr>
          <w:rFonts w:eastAsiaTheme="minorHAnsi"/>
          <w:sz w:val="28"/>
          <w:szCs w:val="28"/>
          <w:lang w:eastAsia="en-US"/>
        </w:rPr>
        <w:t>Россети Янтарь</w:t>
      </w:r>
      <w:r w:rsidRPr="00DE2512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DE2512" w:rsidRDefault="00FE76E2" w:rsidP="00F82E59">
      <w:pPr>
        <w:contextualSpacing/>
        <w:jc w:val="both"/>
        <w:rPr>
          <w:sz w:val="28"/>
          <w:szCs w:val="28"/>
        </w:rPr>
      </w:pPr>
      <w:r w:rsidRPr="00DE2512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DE2512">
        <w:rPr>
          <w:sz w:val="28"/>
          <w:szCs w:val="28"/>
        </w:rPr>
        <w:t>Полинов А.А.</w:t>
      </w: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DE2512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DE2512">
        <w:rPr>
          <w:rFonts w:eastAsiaTheme="minorHAnsi"/>
          <w:sz w:val="28"/>
          <w:szCs w:val="28"/>
          <w:lang w:eastAsia="en-US"/>
        </w:rPr>
        <w:t>:</w:t>
      </w:r>
    </w:p>
    <w:p w:rsidR="00FE76E2" w:rsidRPr="00DE2512" w:rsidRDefault="00FE76E2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E2512">
        <w:rPr>
          <w:sz w:val="28"/>
          <w:szCs w:val="28"/>
        </w:rPr>
        <w:t>Полинов А.А.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Гончаров Ю.В.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Калоева М.В.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Краинский Д.В.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Михеев Д.Д.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Парамонова Н.В.</w:t>
      </w:r>
    </w:p>
    <w:p w:rsidR="00DE2D98" w:rsidRPr="00DE2512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Пидник А.Ю.</w:t>
      </w:r>
    </w:p>
    <w:p w:rsidR="00FE76E2" w:rsidRPr="00DE2512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DE2512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DE2512">
        <w:rPr>
          <w:rFonts w:eastAsiaTheme="minorHAnsi"/>
          <w:sz w:val="28"/>
          <w:szCs w:val="28"/>
          <w:lang w:eastAsia="en-US"/>
        </w:rPr>
        <w:t>Россети Янтарь</w:t>
      </w:r>
      <w:r w:rsidRPr="00DE2512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3E8" w:rsidRPr="00DE2512" w:rsidRDefault="009635E5" w:rsidP="00F82E59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01.01.2023.</w:t>
      </w:r>
    </w:p>
    <w:p w:rsidR="00A303E8" w:rsidRPr="00DE2512" w:rsidRDefault="009635E5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DE2512">
        <w:rPr>
          <w:spacing w:val="-4"/>
          <w:sz w:val="28"/>
          <w:szCs w:val="28"/>
        </w:rPr>
        <w:t>Об утверждении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2022 года, а также исполнения плана мероприятий по развитию и совершенствованию деятельности внутреннего аудита Общества.</w:t>
      </w:r>
    </w:p>
    <w:p w:rsidR="00A303E8" w:rsidRPr="00DE2512" w:rsidRDefault="009635E5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DE2512">
        <w:rPr>
          <w:spacing w:val="-4"/>
          <w:sz w:val="28"/>
          <w:szCs w:val="28"/>
        </w:rPr>
        <w:t>О внесении изменений в Методику расчета и оценки выполнения ключевых показателей эффективности Генерального директора АО «Россети Янтарь» и в целевые значения ключевых показателей эффективности Генерального директора АО «Россети Янтарь».</w:t>
      </w:r>
    </w:p>
    <w:p w:rsidR="00A303E8" w:rsidRPr="00DE2512" w:rsidRDefault="009635E5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DE2512">
        <w:rPr>
          <w:sz w:val="28"/>
          <w:szCs w:val="28"/>
        </w:rPr>
        <w:t>Об утверждении сводного по РСБУ и консолидированного на принципах МСФО бизнес-планов группы компаний Общества на 2023 год и прогнозных показателей на 2024-2027 годы.</w:t>
      </w:r>
    </w:p>
    <w:p w:rsidR="009635E5" w:rsidRPr="00DE2512" w:rsidRDefault="009635E5" w:rsidP="00F82E5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DE2512">
        <w:rPr>
          <w:spacing w:val="-4"/>
          <w:sz w:val="28"/>
          <w:szCs w:val="28"/>
        </w:rPr>
        <w:lastRenderedPageBreak/>
        <w:t>О рассмотрении отчета об исполнении бизнес - плана Общества за 2022</w:t>
      </w:r>
      <w:r w:rsidR="00782170" w:rsidRPr="00DE2512">
        <w:rPr>
          <w:spacing w:val="-4"/>
          <w:sz w:val="28"/>
          <w:szCs w:val="28"/>
        </w:rPr>
        <w:t> </w:t>
      </w:r>
      <w:r w:rsidRPr="00DE2512">
        <w:rPr>
          <w:spacing w:val="-4"/>
          <w:sz w:val="28"/>
          <w:szCs w:val="28"/>
        </w:rPr>
        <w:t>год.</w:t>
      </w:r>
    </w:p>
    <w:p w:rsidR="009635E5" w:rsidRPr="00DE2512" w:rsidRDefault="009635E5" w:rsidP="00F82E59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DE2512">
        <w:rPr>
          <w:spacing w:val="-4"/>
          <w:sz w:val="28"/>
          <w:szCs w:val="28"/>
        </w:rPr>
        <w:t>О рекомендациях по распределению прибыли (убытков) АО «Россети Янтарь» за 2022 отчетный год.</w:t>
      </w:r>
    </w:p>
    <w:p w:rsidR="00A303E8" w:rsidRPr="00DE2512" w:rsidRDefault="009635E5" w:rsidP="00F82E59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DE2512">
        <w:rPr>
          <w:sz w:val="28"/>
          <w:szCs w:val="28"/>
        </w:rPr>
        <w:t>О рекомендациях годовому Общему собранию акционеров по размеру дивидендов по акциям АО «Россети Янтарь» и порядку их выплаты по итогам 2022 года и о предложениях годовому Общему собранию акционеров Общества по определению даты, на которую определяются лица, имеющие право на получение дивидендов.</w:t>
      </w:r>
    </w:p>
    <w:p w:rsidR="009635E5" w:rsidRPr="00DE2512" w:rsidRDefault="009635E5" w:rsidP="00F82E59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DE2512">
        <w:rPr>
          <w:sz w:val="28"/>
          <w:szCs w:val="28"/>
        </w:rPr>
        <w:t>Об утверждении Программы негосударственного пенсионного обеспечения работников Общества на 2023 год.</w:t>
      </w:r>
    </w:p>
    <w:p w:rsidR="009635E5" w:rsidRPr="00DE2512" w:rsidRDefault="009635E5" w:rsidP="00F82E59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DE2512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DC7713" w:rsidRPr="00DE2512">
        <w:rPr>
          <w:sz w:val="28"/>
          <w:szCs w:val="28"/>
        </w:rPr>
        <w:t> </w:t>
      </w:r>
      <w:r w:rsidRPr="00DE2512">
        <w:rPr>
          <w:sz w:val="28"/>
          <w:szCs w:val="28"/>
        </w:rPr>
        <w:t>«Янтарьэнергосервис»: О назначении исполняющего обязанности Генерального директора АО «Янтарьэнергосервис».</w:t>
      </w:r>
    </w:p>
    <w:p w:rsidR="009635E5" w:rsidRPr="00DE2512" w:rsidRDefault="009635E5" w:rsidP="00DC7713">
      <w:pPr>
        <w:pStyle w:val="a7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DE2512">
        <w:rPr>
          <w:sz w:val="28"/>
          <w:szCs w:val="28"/>
        </w:rPr>
        <w:t>Об определении позиции Общества по вопросам повесток дня заседаний Советов директоров и Общих собраний акционеров ДЗО Общества.</w:t>
      </w:r>
    </w:p>
    <w:p w:rsidR="00210629" w:rsidRPr="00DE2512" w:rsidRDefault="00210629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D66BC" w:rsidRPr="00DE2512" w:rsidRDefault="00FE76E2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DE2512">
        <w:rPr>
          <w:b/>
          <w:spacing w:val="-4"/>
          <w:sz w:val="28"/>
          <w:szCs w:val="28"/>
        </w:rPr>
        <w:t>ВОПРОС № 1:</w:t>
      </w:r>
      <w:r w:rsidRPr="00DE2512">
        <w:rPr>
          <w:spacing w:val="-4"/>
          <w:sz w:val="28"/>
          <w:szCs w:val="28"/>
        </w:rPr>
        <w:t xml:space="preserve"> </w:t>
      </w:r>
      <w:r w:rsidR="00DC7713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01.01.2023.</w:t>
      </w:r>
    </w:p>
    <w:p w:rsidR="00A303E8" w:rsidRPr="00DE2512" w:rsidRDefault="00A303E8" w:rsidP="000C21CF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bookmarkStart w:id="1" w:name="_Hlk137036490"/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01.01.2023, согласно приложению к настоящему решению Совета директоров Общества.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01.10.2022, согласно приложению к настоящему решению Совета директоров Общества.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3.</w:t>
      </w:r>
      <w:r w:rsidRPr="00DE2512">
        <w:rPr>
          <w:sz w:val="28"/>
          <w:szCs w:val="28"/>
        </w:rPr>
        <w:tab/>
        <w:t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4 квартале 2022 года, согласно приложению к настоящему решению Совета директоров Общества.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</w:t>
      </w:r>
      <w:r w:rsidRPr="00DE2512">
        <w:rPr>
          <w:sz w:val="28"/>
          <w:szCs w:val="28"/>
        </w:rPr>
        <w:tab/>
        <w:t>Поручить единоличному исполнительному органу Общества: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4.1.</w:t>
      </w:r>
      <w:r w:rsidR="00FC29AA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Обеспечить погашение в 2023 году 150,5 млн рублей просроченной дебиторской задолженности из величины, сложившейся на 01.01.2023, в том числе 150,5 млн рублей в IV квартале 2023 года.</w:t>
      </w:r>
    </w:p>
    <w:p w:rsidR="00FA2CCE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4.2.</w:t>
      </w:r>
      <w:r w:rsidR="00FC29AA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Обеспечить по итогам 2023 года представление в рамках данного вопроса информации о ходе исполнения поручения, указанного в п. 4.1 настоящего решения.</w:t>
      </w:r>
    </w:p>
    <w:bookmarkEnd w:id="1"/>
    <w:p w:rsidR="00A303E8" w:rsidRPr="00DE2512" w:rsidRDefault="00A303E8" w:rsidP="000C21CF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757019" w:rsidRPr="00DE2512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E2512" w:rsidRDefault="00757019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E2512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DE2512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E2512" w:rsidRDefault="00757019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DE2512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DE2512" w:rsidRDefault="00757019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DE2512" w:rsidRDefault="00757019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DE2512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E2512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E2512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DE251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DE251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E2512" w:rsidRDefault="00647CD3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DE251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DE2512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DE2512" w:rsidRDefault="00525234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E2512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E2512" w:rsidRDefault="009406DD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E2512" w:rsidRDefault="009406DD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DE251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DE2512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DE2512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DE2512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E2512" w:rsidRDefault="00AA7DA9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</w:t>
            </w:r>
            <w:r w:rsidR="00FE76E2" w:rsidRPr="00DE251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DE251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E2512" w:rsidRDefault="00FE76E2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E2512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DE251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DE2512" w:rsidRDefault="00AA7DA9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DE2512" w:rsidRDefault="00AA7DA9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E2512" w:rsidRDefault="00AA7DA9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E2512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E2512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935848" w:rsidRPr="00DE2512" w:rsidRDefault="00935848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BB568B"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EF2FC8" w:rsidRPr="00DE2512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DE2512" w:rsidRDefault="00935848" w:rsidP="000C21CF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DE2512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DE2512">
        <w:rPr>
          <w:b/>
          <w:spacing w:val="-4"/>
          <w:sz w:val="28"/>
          <w:szCs w:val="28"/>
        </w:rPr>
        <w:t>ВОПРОС № 2:</w:t>
      </w:r>
      <w:r w:rsidRPr="00DE2512">
        <w:rPr>
          <w:spacing w:val="-4"/>
          <w:sz w:val="28"/>
          <w:szCs w:val="28"/>
        </w:rPr>
        <w:t xml:space="preserve"> </w:t>
      </w:r>
      <w:r w:rsidR="00DC7713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2022 года, а также исполнения плана мероприятий по развитию и совершенствованию деятельности внутреннего аудита Общества.</w:t>
      </w:r>
    </w:p>
    <w:p w:rsidR="00BB203A" w:rsidRPr="00DE2512" w:rsidRDefault="00BB203A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303E8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отчет подразделения внутреннего аудита АО «Россети Янтарь» о выполнении плана работы и результатах деятельности внутреннего аудита за 2022 год, включая результаты самооценки качества деятельности внутреннего аудита по итогам 2022 года, результаты исполнения в 2022 году плана мероприятий по развитию и совершенствованию деятельности внутреннего аудита Общества на период с 2020 по 2024 годы и плана мероприятий по профессиональному развитию внутренних аудиторов в АО</w:t>
      </w:r>
      <w:r w:rsidR="00FA54E6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«Россети Янтарь» в соответствии с приложением к настоящему решению.</w:t>
      </w:r>
    </w:p>
    <w:p w:rsidR="00DC7713" w:rsidRPr="00DE2512" w:rsidRDefault="00DC7713" w:rsidP="00DE2512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EF2FC8" w:rsidRPr="00DE2512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DE2512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DE2512" w:rsidRDefault="00496D19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членов Совета директоров Общества, принимающих участие в заседании. </w:t>
      </w:r>
    </w:p>
    <w:p w:rsidR="00EF2FC8" w:rsidRPr="00DE2512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DE2512" w:rsidRDefault="00BB568B" w:rsidP="00156C23">
      <w:pPr>
        <w:tabs>
          <w:tab w:val="left" w:pos="2977"/>
        </w:tabs>
        <w:contextualSpacing/>
        <w:jc w:val="both"/>
        <w:rPr>
          <w:spacing w:val="-4"/>
          <w:sz w:val="28"/>
          <w:szCs w:val="28"/>
        </w:rPr>
      </w:pPr>
    </w:p>
    <w:p w:rsidR="00DC7713" w:rsidRPr="00DE2512" w:rsidRDefault="00EF2FC8" w:rsidP="00165322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DE2512">
        <w:rPr>
          <w:b/>
          <w:spacing w:val="-4"/>
          <w:sz w:val="28"/>
          <w:szCs w:val="28"/>
        </w:rPr>
        <w:lastRenderedPageBreak/>
        <w:t>ВОПРОС № 3:</w:t>
      </w:r>
      <w:r w:rsidRPr="00DE2512">
        <w:rPr>
          <w:spacing w:val="-4"/>
          <w:sz w:val="28"/>
          <w:szCs w:val="28"/>
        </w:rPr>
        <w:t xml:space="preserve"> </w:t>
      </w:r>
      <w:r w:rsidR="00DC7713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внесении изменений в Методику расчета и оценки выполнения ключевых показателей эффективности Генерального директора АО «Россети Янтарь» и в целевые значения ключевых показателей эффективности Генерального директора АО «Россети Янтарь».</w:t>
      </w:r>
    </w:p>
    <w:p w:rsidR="00DC7713" w:rsidRPr="00DE2512" w:rsidRDefault="00DC7713" w:rsidP="00156C23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DC7713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Отметить позднее (после окончания отчетного 2022 года) вынесение вопроса на рассмотрение Совета директоров Общества и неисполнение приказа ПАО «Россети» от 21.11.2022 № 515 «О внесении изменений в приказ ПАО «Россети» от 15.07.2020 № 300».</w:t>
      </w:r>
    </w:p>
    <w:p w:rsidR="00A303E8" w:rsidRPr="00DE2512" w:rsidRDefault="00DC7713" w:rsidP="00DC7713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Принять к сведению информацию о фактическом значении КПЭ «Показатель перехода на преимущественное использование отечественного программного обеспечения» по итогам 2022 года, равного 95,8% (более целевого значения в 86%) и наличии в Обществе собственного Плана по переходу на преимущественное использование отечественного программного обеспечения (являющегося обязательным условием выполнения данного показателя), утвержденного приказом АО «Россети Янтарь» от 29.12.2022 №</w:t>
      </w:r>
      <w:r w:rsidR="004764CD" w:rsidRPr="00DE2512">
        <w:rPr>
          <w:sz w:val="28"/>
          <w:szCs w:val="28"/>
        </w:rPr>
        <w:t> </w:t>
      </w:r>
      <w:r w:rsidRPr="00DE2512">
        <w:rPr>
          <w:sz w:val="28"/>
          <w:szCs w:val="28"/>
        </w:rPr>
        <w:t>252.</w:t>
      </w:r>
    </w:p>
    <w:p w:rsidR="00DC7713" w:rsidRPr="00DE2512" w:rsidRDefault="00DC7713" w:rsidP="00156C2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EF2FC8" w:rsidRPr="00DE2512" w:rsidTr="000B4802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DE2512" w:rsidTr="000B4802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rPr>
          <w:trHeight w:val="113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rPr>
          <w:trHeight w:val="10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0B4802">
        <w:trPr>
          <w:trHeight w:val="84"/>
        </w:trPr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96D19" w:rsidRPr="00DE2512" w:rsidRDefault="000B4802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2" w:name="_Hlk127878260"/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bookmarkEnd w:id="2"/>
    <w:p w:rsidR="00EF2FC8" w:rsidRPr="00DE2512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DE2512" w:rsidRDefault="00BB568B" w:rsidP="00156C23">
      <w:pPr>
        <w:tabs>
          <w:tab w:val="left" w:pos="2977"/>
        </w:tabs>
        <w:contextualSpacing/>
        <w:jc w:val="both"/>
        <w:rPr>
          <w:spacing w:val="-4"/>
          <w:sz w:val="28"/>
          <w:szCs w:val="28"/>
        </w:rPr>
      </w:pPr>
    </w:p>
    <w:p w:rsidR="00EF2FC8" w:rsidRPr="00DE2512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DE2512">
        <w:rPr>
          <w:b/>
          <w:spacing w:val="-4"/>
          <w:sz w:val="28"/>
          <w:szCs w:val="28"/>
        </w:rPr>
        <w:t>ВОПРОС № 4:</w:t>
      </w:r>
      <w:r w:rsidRPr="00DE2512">
        <w:rPr>
          <w:spacing w:val="-4"/>
          <w:sz w:val="28"/>
          <w:szCs w:val="28"/>
        </w:rPr>
        <w:t xml:space="preserve"> </w:t>
      </w:r>
      <w:r w:rsidR="00801E05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сводного по РСБУ и консолидированного на принципах МСФО бизнес-планов группы компаний Общества на 2023 год и прогнозных показателей на 2024-2027 годы.</w:t>
      </w:r>
    </w:p>
    <w:p w:rsidR="00935848" w:rsidRPr="00DE2512" w:rsidRDefault="00935848" w:rsidP="00156C23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96875" w:rsidRPr="00DE2512" w:rsidRDefault="00A76A1D" w:rsidP="00F82E59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сводный на принципах РСБУ и консолидированный на принципах МСФО бизнес-планы Группы АО «Россети Янтарь» на 2023 год и принять к сведению прогнозные показатели на 2024-2027 годы в соответствии с приложением к настоящему решению Совета директоров Общества.</w:t>
      </w:r>
    </w:p>
    <w:p w:rsidR="00666471" w:rsidRPr="00DE2512" w:rsidRDefault="00666471" w:rsidP="00156C2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DE2512" w:rsidRDefault="00EF2FC8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EF2FC8" w:rsidRPr="00DE2512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DE2512" w:rsidRDefault="00EF2FC8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DE2512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DE2512" w:rsidRDefault="00EF2FC8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DE2512" w:rsidRDefault="00EF2FC8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DE2512" w:rsidRDefault="00EF2FC8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DE2512" w:rsidRDefault="00EF2FC8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DE2512" w:rsidRDefault="00D26813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FE76E2" w:rsidRPr="00DE2512" w:rsidRDefault="00FE76E2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DE2512" w:rsidRDefault="00196875" w:rsidP="00DE2512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DE2512" w:rsidRDefault="00196875" w:rsidP="00DE2512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DE2512">
        <w:rPr>
          <w:b/>
          <w:spacing w:val="-4"/>
          <w:sz w:val="28"/>
          <w:szCs w:val="28"/>
        </w:rPr>
        <w:t>ВОПРОС № 5:</w:t>
      </w:r>
      <w:r w:rsidRPr="00DE2512">
        <w:rPr>
          <w:spacing w:val="-4"/>
          <w:sz w:val="28"/>
          <w:szCs w:val="28"/>
        </w:rPr>
        <w:t xml:space="preserve"> </w:t>
      </w:r>
      <w:r w:rsidR="00A76A1D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бизнес - плана Общества за 2022 год.</w:t>
      </w:r>
    </w:p>
    <w:p w:rsidR="00A76A1D" w:rsidRPr="00DE2512" w:rsidRDefault="00A76A1D" w:rsidP="00DE2512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DE2512" w:rsidRDefault="00196875" w:rsidP="00DE2512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6A1D" w:rsidRPr="00DE2512" w:rsidRDefault="00A76A1D" w:rsidP="00A76A1D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Принять к сведению отчет об исполнении бизнес-плана АО «Россети Янтарь» за 2022 год в соответствии с приложением к настоящему решению Совета директоров Общества.</w:t>
      </w:r>
    </w:p>
    <w:p w:rsidR="00A76A1D" w:rsidRPr="00DE2512" w:rsidRDefault="00A76A1D" w:rsidP="00A76A1D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Отметить по итогам работы Общества за 2022 год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666471" w:rsidRPr="00DE2512" w:rsidRDefault="00A76A1D" w:rsidP="00A76A1D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3.</w:t>
      </w:r>
      <w:r w:rsidRPr="00DE2512">
        <w:rPr>
          <w:sz w:val="28"/>
          <w:szCs w:val="28"/>
        </w:rPr>
        <w:tab/>
        <w:t>Поручить единоличному исполнительному органу АО «Россети Янтарь» разработать и утвердить подробный план мероприятий по подхвату электросетевых активов ТСО, лишающихся статуса, а также ТСО, сохраняющих свой статус.</w:t>
      </w:r>
    </w:p>
    <w:p w:rsidR="00A76A1D" w:rsidRPr="00DE2512" w:rsidRDefault="00A76A1D" w:rsidP="00156C2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DE2512" w:rsidRDefault="00196875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196875" w:rsidRPr="00DE2512" w:rsidTr="000B4802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DE2512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DE2512" w:rsidTr="000B4802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DE2512" w:rsidRDefault="00196875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DE2512" w:rsidRDefault="00196875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DE2512" w:rsidRDefault="00196875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26813" w:rsidRPr="00DE2512" w:rsidRDefault="000B4802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DE2512" w:rsidRDefault="00196875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DE2512" w:rsidRDefault="00196875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DE2512" w:rsidRDefault="00196875" w:rsidP="00782170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_Hlk127872168"/>
      <w:r w:rsidRPr="00DE2512">
        <w:rPr>
          <w:b/>
          <w:spacing w:val="-4"/>
          <w:sz w:val="28"/>
          <w:szCs w:val="28"/>
        </w:rPr>
        <w:lastRenderedPageBreak/>
        <w:t>ВОПРОС № 6:</w:t>
      </w:r>
      <w:r w:rsidRPr="00DE2512">
        <w:rPr>
          <w:spacing w:val="-4"/>
          <w:sz w:val="28"/>
          <w:szCs w:val="28"/>
        </w:rPr>
        <w:t xml:space="preserve"> </w:t>
      </w:r>
      <w:r w:rsidR="00A76A1D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рекомендациях по распределению прибыли (убытков) АО «Россети Янтарь» за 2022 отчетный год.</w:t>
      </w:r>
    </w:p>
    <w:p w:rsidR="008B225A" w:rsidRPr="00DE2512" w:rsidRDefault="008B225A" w:rsidP="00782170">
      <w:pPr>
        <w:keepNext/>
        <w:keepLines/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DE2512" w:rsidRDefault="00196875" w:rsidP="00782170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6A1D" w:rsidRPr="00DE2512" w:rsidRDefault="00A76A1D" w:rsidP="00A76A1D">
      <w:pPr>
        <w:ind w:firstLine="708"/>
        <w:contextualSpacing/>
        <w:jc w:val="both"/>
        <w:rPr>
          <w:bCs/>
          <w:sz w:val="28"/>
          <w:szCs w:val="28"/>
        </w:rPr>
      </w:pPr>
      <w:r w:rsidRPr="00DE2512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2022 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4"/>
        <w:gridCol w:w="1602"/>
      </w:tblGrid>
      <w:tr w:rsidR="00A76A1D" w:rsidRPr="00DE2512" w:rsidTr="00C32325">
        <w:trPr>
          <w:trHeight w:val="60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ind w:left="-284" w:right="-70" w:firstLine="568"/>
              <w:contextualSpacing/>
              <w:jc w:val="center"/>
              <w:rPr>
                <w:sz w:val="24"/>
                <w:szCs w:val="24"/>
              </w:rPr>
            </w:pPr>
            <w:bookmarkStart w:id="4" w:name="_Hlk133246068"/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ind w:right="-7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A76A1D" w:rsidRPr="00DE2512" w:rsidTr="00C32325">
        <w:trPr>
          <w:trHeight w:val="56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tabs>
                <w:tab w:val="left" w:pos="2268"/>
              </w:tabs>
              <w:ind w:right="179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841 631</w:t>
            </w:r>
          </w:p>
        </w:tc>
      </w:tr>
      <w:tr w:rsidR="00A76A1D" w:rsidRPr="00DE2512" w:rsidTr="00C32325">
        <w:trPr>
          <w:trHeight w:val="328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tabs>
                <w:tab w:val="left" w:pos="2268"/>
              </w:tabs>
              <w:ind w:right="179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 Резервный фонд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42 082</w:t>
            </w:r>
          </w:p>
        </w:tc>
      </w:tr>
      <w:tr w:rsidR="00A76A1D" w:rsidRPr="00DE2512" w:rsidTr="00C32325">
        <w:trPr>
          <w:trHeight w:val="178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Дивиденды, в том числе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713 924,5</w:t>
            </w:r>
          </w:p>
        </w:tc>
      </w:tr>
      <w:tr w:rsidR="00A76A1D" w:rsidRPr="00DE2512" w:rsidTr="00C32325">
        <w:trPr>
          <w:trHeight w:val="814"/>
        </w:trPr>
        <w:tc>
          <w:tcPr>
            <w:tcW w:w="4143" w:type="pct"/>
          </w:tcPr>
          <w:p w:rsidR="00A76A1D" w:rsidRPr="00DE2512" w:rsidRDefault="00A76A1D" w:rsidP="00A76A1D">
            <w:pPr>
              <w:ind w:right="194"/>
              <w:contextualSpacing/>
              <w:jc w:val="both"/>
              <w:rPr>
                <w:i/>
                <w:sz w:val="24"/>
                <w:szCs w:val="24"/>
              </w:rPr>
            </w:pPr>
            <w:r w:rsidRPr="00DE2512">
              <w:rPr>
                <w:i/>
                <w:sz w:val="24"/>
                <w:szCs w:val="24"/>
              </w:rPr>
              <w:t>- промежуточные дивиденды по итогам 9 месяцев 2022 года (протокол Правления ПАО «Россети» от 21.12.2022 № 1155, осуществляющего полномочия ВОСА АО «Россети Янтарь»)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326 497</w:t>
            </w:r>
          </w:p>
        </w:tc>
      </w:tr>
      <w:tr w:rsidR="00A76A1D" w:rsidRPr="00DE2512" w:rsidTr="00C32325">
        <w:trPr>
          <w:trHeight w:val="274"/>
        </w:trPr>
        <w:tc>
          <w:tcPr>
            <w:tcW w:w="4143" w:type="pct"/>
          </w:tcPr>
          <w:p w:rsidR="00A76A1D" w:rsidRPr="00DE2512" w:rsidRDefault="00A76A1D" w:rsidP="00A76A1D">
            <w:pPr>
              <w:ind w:right="194"/>
              <w:contextualSpacing/>
              <w:rPr>
                <w:i/>
                <w:sz w:val="24"/>
                <w:szCs w:val="24"/>
              </w:rPr>
            </w:pPr>
            <w:r w:rsidRPr="00DE2512">
              <w:rPr>
                <w:i/>
                <w:sz w:val="24"/>
                <w:szCs w:val="24"/>
              </w:rPr>
              <w:t>- подлежащая выплате сумма дивидендов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387 427,5</w:t>
            </w:r>
          </w:p>
        </w:tc>
      </w:tr>
      <w:tr w:rsidR="00A76A1D" w:rsidRPr="00DE2512" w:rsidTr="00C32325">
        <w:trPr>
          <w:trHeight w:val="56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A76A1D" w:rsidRPr="00DE2512" w:rsidTr="00C32325">
        <w:trPr>
          <w:trHeight w:val="270"/>
        </w:trPr>
        <w:tc>
          <w:tcPr>
            <w:tcW w:w="4143" w:type="pct"/>
            <w:vAlign w:val="center"/>
          </w:tcPr>
          <w:p w:rsidR="00A76A1D" w:rsidRPr="00DE2512" w:rsidRDefault="00A76A1D" w:rsidP="00A76A1D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Прибыль на развитие</w:t>
            </w:r>
          </w:p>
        </w:tc>
        <w:tc>
          <w:tcPr>
            <w:tcW w:w="857" w:type="pct"/>
            <w:vAlign w:val="center"/>
          </w:tcPr>
          <w:p w:rsidR="00A76A1D" w:rsidRPr="00DE2512" w:rsidRDefault="00A76A1D" w:rsidP="00A76A1D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85 624,5</w:t>
            </w:r>
          </w:p>
        </w:tc>
      </w:tr>
      <w:bookmarkEnd w:id="4"/>
    </w:tbl>
    <w:p w:rsidR="00D80E7A" w:rsidRPr="00DE2512" w:rsidRDefault="00D80E7A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DE2512" w:rsidRDefault="00196875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196875" w:rsidRPr="00DE2512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DE2512" w:rsidRDefault="00196875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DE2512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DE2512" w:rsidRDefault="00196875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DE2512" w:rsidRDefault="00196875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DE2512" w:rsidRDefault="00196875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DE2512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DE2512" w:rsidRDefault="00196875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DE2512" w:rsidRDefault="00196875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DE2512" w:rsidRDefault="00196875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80E7A" w:rsidRPr="00DE2512" w:rsidRDefault="00D80E7A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DE2512" w:rsidRDefault="00196875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bookmarkEnd w:id="3"/>
    <w:p w:rsidR="00196875" w:rsidRPr="00DE2512" w:rsidRDefault="00196875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DE2512" w:rsidRDefault="00666471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_Hlk137035092"/>
      <w:r w:rsidRPr="00DE2512">
        <w:rPr>
          <w:b/>
          <w:spacing w:val="-4"/>
          <w:sz w:val="28"/>
          <w:szCs w:val="28"/>
        </w:rPr>
        <w:t>ВОПРОС № 7:</w:t>
      </w:r>
      <w:r w:rsidRPr="00DE2512">
        <w:rPr>
          <w:spacing w:val="-4"/>
          <w:sz w:val="28"/>
          <w:szCs w:val="28"/>
        </w:rPr>
        <w:t xml:space="preserve"> </w:t>
      </w:r>
      <w:r w:rsidR="00A76A1D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рекомендациях годовому Общему собранию акционеров по размеру дивидендов по акциям АО «Россети Янтарь» и порядку их выплаты по итогам 2022 года и о предложениях годовому Общему собранию акционеров Общества по определению даты, на которую определяются лица, имеющие право на получение дивидендов.</w:t>
      </w:r>
    </w:p>
    <w:p w:rsidR="00666471" w:rsidRPr="00DE2512" w:rsidRDefault="00666471" w:rsidP="00F82E5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DE2512" w:rsidRDefault="00666471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6A1D" w:rsidRPr="00DE2512" w:rsidRDefault="00A76A1D" w:rsidP="00A76A1D">
      <w:pPr>
        <w:ind w:firstLine="709"/>
        <w:contextualSpacing/>
        <w:jc w:val="both"/>
        <w:rPr>
          <w:sz w:val="28"/>
          <w:szCs w:val="28"/>
        </w:rPr>
      </w:pPr>
      <w:bookmarkStart w:id="6" w:name="_Hlk137037057"/>
      <w:r w:rsidRPr="00DE2512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A76A1D" w:rsidRPr="00DE2512" w:rsidRDefault="00A76A1D" w:rsidP="00C32325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Выплатить дивиденды по обыкновенным акциям Общества по результатам 2022 года в размере 387 427,5 тыс. рублей в денежной форме. Размер дивиденда, выплачиваемого на одну акцию, определяется, как отношение суммы дивидендов (387 427,5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A76A1D" w:rsidRPr="00DE2512" w:rsidRDefault="00A76A1D" w:rsidP="00C32325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lastRenderedPageBreak/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76A1D" w:rsidRPr="00DE2512" w:rsidRDefault="00A76A1D" w:rsidP="00C32325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bookmarkEnd w:id="5"/>
    <w:bookmarkEnd w:id="6"/>
    <w:p w:rsidR="00666471" w:rsidRPr="00DE2512" w:rsidRDefault="00666471" w:rsidP="000C21CF">
      <w:pPr>
        <w:contextualSpacing/>
        <w:jc w:val="both"/>
        <w:rPr>
          <w:bCs/>
          <w:color w:val="000000"/>
          <w:sz w:val="28"/>
          <w:szCs w:val="28"/>
        </w:rPr>
      </w:pPr>
    </w:p>
    <w:p w:rsidR="00666471" w:rsidRPr="00DE2512" w:rsidRDefault="00666471" w:rsidP="00F82E59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bookmarkStart w:id="7" w:name="_Hlk137035140"/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666471" w:rsidRPr="00DE2512" w:rsidTr="000B4802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DE2512" w:rsidRDefault="00666471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DE2512" w:rsidRDefault="00666471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6471" w:rsidRPr="00DE2512" w:rsidRDefault="00666471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DE2512" w:rsidRDefault="00666471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6471" w:rsidRPr="00DE2512" w:rsidTr="000B4802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6471" w:rsidRPr="00DE2512" w:rsidRDefault="00666471" w:rsidP="00F82E5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6471" w:rsidRPr="00DE2512" w:rsidRDefault="00666471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6471" w:rsidRPr="00DE2512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DE2512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6471" w:rsidRPr="00DE2512" w:rsidRDefault="00666471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6471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471" w:rsidRPr="00DE2512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471" w:rsidRPr="00DE2512" w:rsidRDefault="00666471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6471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71" w:rsidRPr="00DE2512" w:rsidRDefault="00666471" w:rsidP="00F82E59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71" w:rsidRPr="00DE2512" w:rsidRDefault="00666471" w:rsidP="00F82E59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471" w:rsidRPr="00DE2512" w:rsidRDefault="00666471" w:rsidP="00F82E5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66471" w:rsidRPr="00DE2512" w:rsidRDefault="000B4802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666471" w:rsidRPr="00DE2512" w:rsidRDefault="00666471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bookmarkEnd w:id="7"/>
    <w:p w:rsidR="00A76A1D" w:rsidRPr="00DE2512" w:rsidRDefault="00A76A1D" w:rsidP="00782170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A76A1D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b/>
          <w:spacing w:val="-4"/>
          <w:sz w:val="28"/>
          <w:szCs w:val="28"/>
        </w:rPr>
        <w:t>ВОПРОС № 8:</w:t>
      </w:r>
      <w:r w:rsidRPr="00DE2512">
        <w:rPr>
          <w:spacing w:val="-4"/>
          <w:sz w:val="28"/>
          <w:szCs w:val="28"/>
        </w:rPr>
        <w:t xml:space="preserve"> </w:t>
      </w:r>
      <w:r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Программы негосударственного пенсионного обеспечения работников Общества на 2023 год.</w:t>
      </w:r>
    </w:p>
    <w:p w:rsidR="00A76A1D" w:rsidRPr="00DE2512" w:rsidRDefault="00A76A1D" w:rsidP="00A76A1D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6A1D" w:rsidRPr="00DE2512" w:rsidRDefault="00A76A1D" w:rsidP="00A76A1D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6A1D" w:rsidRPr="00DE2512" w:rsidRDefault="00A76A1D" w:rsidP="00F82E59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Программу негосударственного пенсионного обеспечения работников Общества на 2023 год согласно приложению к настоящему решению.</w:t>
      </w:r>
    </w:p>
    <w:p w:rsidR="00A76A1D" w:rsidRPr="00DE2512" w:rsidRDefault="00A76A1D" w:rsidP="00782170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A76A1D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A76A1D" w:rsidRPr="00DE2512" w:rsidTr="00C32325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76A1D" w:rsidRPr="00DE2512" w:rsidTr="00C32325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76A1D" w:rsidRPr="00DE2512" w:rsidRDefault="00A76A1D" w:rsidP="00A76A1D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A76A1D" w:rsidRPr="00DE2512" w:rsidRDefault="00A76A1D" w:rsidP="00A76A1D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A76A1D" w:rsidRPr="00DE2512" w:rsidRDefault="00A76A1D" w:rsidP="00DE2512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0C21CF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b/>
          <w:spacing w:val="-4"/>
          <w:sz w:val="28"/>
          <w:szCs w:val="28"/>
        </w:rPr>
        <w:lastRenderedPageBreak/>
        <w:t>ВОПРОС № 9:</w:t>
      </w:r>
      <w:r w:rsidRPr="00DE2512">
        <w:rPr>
          <w:spacing w:val="-4"/>
          <w:sz w:val="28"/>
          <w:szCs w:val="28"/>
        </w:rPr>
        <w:t xml:space="preserve"> </w:t>
      </w:r>
      <w:r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8B225A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val="en-US" w:eastAsia="zh-CN" w:bidi="hi-IN"/>
        </w:rPr>
        <w:t> </w:t>
      </w:r>
      <w:r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«Янтарьэнергосервис»: О назначении исполняющего обязанности Генерального директора АО «Янтарьэнергосервис».</w:t>
      </w:r>
    </w:p>
    <w:p w:rsidR="00A76A1D" w:rsidRPr="00DE2512" w:rsidRDefault="00A76A1D" w:rsidP="00A76A1D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6A1D" w:rsidRPr="00DE2512" w:rsidRDefault="00A76A1D" w:rsidP="00A76A1D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B225A" w:rsidRPr="00DE2512" w:rsidRDefault="008B225A" w:rsidP="008B225A">
      <w:pPr>
        <w:ind w:firstLine="709"/>
        <w:contextualSpacing/>
        <w:jc w:val="both"/>
        <w:rPr>
          <w:sz w:val="28"/>
          <w:szCs w:val="28"/>
        </w:rPr>
      </w:pPr>
      <w:bookmarkStart w:id="8" w:name="_Hlk137037346"/>
      <w:r w:rsidRPr="00DE2512">
        <w:rPr>
          <w:sz w:val="28"/>
          <w:szCs w:val="28"/>
        </w:rPr>
        <w:t>Поручить представителям АО «Россети Янтарь» по вопросу повестки дня заседания Совета директоров АО «Янтарьэнергосервис»: «О назначении исполняющего обязанности Генерального директора АО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«Янтарьэнергосервис» голосовать «ЗА» принятие следующего решения:</w:t>
      </w:r>
    </w:p>
    <w:p w:rsidR="008B225A" w:rsidRPr="00DE2512" w:rsidRDefault="008B225A" w:rsidP="008B225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 xml:space="preserve">Досрочно прекратить полномочия исполняющего обязанности Генерального директора АО «Янтарьэнергосервис» </w:t>
      </w:r>
      <w:proofErr w:type="spellStart"/>
      <w:r w:rsidRPr="00DE2512">
        <w:rPr>
          <w:sz w:val="28"/>
          <w:szCs w:val="28"/>
        </w:rPr>
        <w:t>Лукьянца</w:t>
      </w:r>
      <w:proofErr w:type="spellEnd"/>
      <w:r w:rsidRPr="00DE2512">
        <w:rPr>
          <w:sz w:val="28"/>
          <w:szCs w:val="28"/>
        </w:rPr>
        <w:t xml:space="preserve"> Юрия Игоревича и прекратить действие трудового договора с ним в соответствии с пунктом 3 части первой статьи 77 Трудового кодекса Российской Федерации.</w:t>
      </w:r>
    </w:p>
    <w:p w:rsidR="00A76A1D" w:rsidRPr="00DE2512" w:rsidRDefault="008B225A" w:rsidP="008B225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Назначить исполняющим обязанности Генерального директора АО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«Янтарьэнергосервис» Белова Максима Николаевича с даты, следующей за датой решения Совета директоров АО «Янтарьэнергосервис», на срок до момента принятия решения Советом директоров о назначении Генерального директора АО «Янтарьэнергосервис».</w:t>
      </w:r>
    </w:p>
    <w:bookmarkEnd w:id="8"/>
    <w:p w:rsidR="008B225A" w:rsidRPr="00DE2512" w:rsidRDefault="008B225A" w:rsidP="000C21CF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A76A1D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4174"/>
        <w:gridCol w:w="1257"/>
        <w:gridCol w:w="1390"/>
        <w:gridCol w:w="1950"/>
      </w:tblGrid>
      <w:tr w:rsidR="00A76A1D" w:rsidRPr="00DE2512" w:rsidTr="00C32325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76A1D" w:rsidRPr="00DE2512" w:rsidTr="00C32325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C3232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76A1D" w:rsidRPr="00DE2512" w:rsidRDefault="00A76A1D" w:rsidP="00A76A1D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A76A1D" w:rsidRPr="00DE2512" w:rsidRDefault="00A76A1D" w:rsidP="00A76A1D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A76A1D" w:rsidRPr="00DE2512" w:rsidRDefault="00A76A1D" w:rsidP="000C21CF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8B225A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DE2512">
        <w:rPr>
          <w:b/>
          <w:spacing w:val="-4"/>
          <w:sz w:val="28"/>
          <w:szCs w:val="28"/>
        </w:rPr>
        <w:t xml:space="preserve">ВОПРОС № </w:t>
      </w:r>
      <w:r w:rsidR="008B225A" w:rsidRPr="00DE2512">
        <w:rPr>
          <w:b/>
          <w:spacing w:val="-4"/>
          <w:sz w:val="28"/>
          <w:szCs w:val="28"/>
        </w:rPr>
        <w:t>10</w:t>
      </w:r>
      <w:r w:rsidRPr="00DE2512">
        <w:rPr>
          <w:b/>
          <w:spacing w:val="-4"/>
          <w:sz w:val="28"/>
          <w:szCs w:val="28"/>
        </w:rPr>
        <w:t>:</w:t>
      </w:r>
      <w:r w:rsidRPr="00DE2512">
        <w:rPr>
          <w:spacing w:val="-4"/>
          <w:sz w:val="28"/>
          <w:szCs w:val="28"/>
        </w:rPr>
        <w:t xml:space="preserve"> </w:t>
      </w:r>
      <w:r w:rsidR="008B225A" w:rsidRPr="00DE251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по вопросам повесток дня заседаний Советов директоров и Общих собраний акционеров ДЗО Общества.</w:t>
      </w:r>
    </w:p>
    <w:p w:rsidR="008B225A" w:rsidRPr="00DE2512" w:rsidRDefault="008B225A" w:rsidP="000C21CF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6A1D" w:rsidRPr="00DE2512" w:rsidRDefault="00A76A1D" w:rsidP="00A76A1D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bookmarkStart w:id="9" w:name="_Hlk137037421"/>
      <w:r w:rsidRPr="00DE2512">
        <w:rPr>
          <w:bCs/>
          <w:sz w:val="28"/>
          <w:szCs w:val="28"/>
        </w:rPr>
        <w:t>Поручить представителям Общества в Совете директоров АО «Калининградская генерирующая компания» по вопросу: «О</w:t>
      </w:r>
      <w:r w:rsidRPr="00DE2512">
        <w:rPr>
          <w:bCs/>
          <w:sz w:val="28"/>
          <w:szCs w:val="28"/>
          <w:lang w:val="en-US"/>
        </w:rPr>
        <w:t> </w:t>
      </w:r>
      <w:r w:rsidRPr="00DE2512">
        <w:rPr>
          <w:bCs/>
          <w:sz w:val="28"/>
          <w:szCs w:val="28"/>
        </w:rPr>
        <w:t>рекомендациях по распределению прибыли (убытков) АО «Калининградская генерирующая компания» по результатам 2022 года» голосовать «ЗА» принятие следующего решения:</w:t>
      </w:r>
    </w:p>
    <w:p w:rsidR="008B225A" w:rsidRPr="00DE2512" w:rsidRDefault="008B225A" w:rsidP="00801867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bookmarkStart w:id="10" w:name="_Hlk132094007"/>
      <w:r w:rsidRPr="00DE2512">
        <w:rPr>
          <w:bCs/>
          <w:sz w:val="28"/>
          <w:szCs w:val="28"/>
        </w:rPr>
        <w:t xml:space="preserve">Рекомендовать годовому Общему собранию акционеров АО «Калининградская генерирующая компания» утвердить следующее </w:t>
      </w:r>
      <w:r w:rsidRPr="00DE2512">
        <w:rPr>
          <w:bCs/>
          <w:sz w:val="28"/>
          <w:szCs w:val="28"/>
        </w:rPr>
        <w:lastRenderedPageBreak/>
        <w:t>распределение прибыли (убытков) АО «Калининградская генерирующая компания» за 2022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8"/>
        <w:gridCol w:w="1378"/>
      </w:tblGrid>
      <w:tr w:rsidR="008B225A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190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27 808</w:t>
            </w:r>
          </w:p>
        </w:tc>
      </w:tr>
      <w:tr w:rsidR="008B225A" w:rsidRPr="00DE2512" w:rsidTr="00C32325">
        <w:trPr>
          <w:trHeight w:val="291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Резервный фонд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188</w:t>
            </w:r>
          </w:p>
        </w:tc>
      </w:tr>
      <w:tr w:rsidR="008B225A" w:rsidRPr="00DE2512" w:rsidTr="00C32325">
        <w:trPr>
          <w:trHeight w:val="291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Прибыль на развитие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13 716</w:t>
            </w:r>
          </w:p>
        </w:tc>
      </w:tr>
      <w:tr w:rsidR="008B225A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</w:t>
            </w:r>
            <w:r w:rsidRPr="00DE2512">
              <w:rPr>
                <w:sz w:val="24"/>
                <w:szCs w:val="24"/>
              </w:rPr>
              <w:t>Дивиденды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13 904</w:t>
            </w:r>
          </w:p>
        </w:tc>
      </w:tr>
      <w:tr w:rsidR="008B225A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bookmarkEnd w:id="10"/>
    </w:tbl>
    <w:p w:rsidR="008B225A" w:rsidRPr="00DE2512" w:rsidRDefault="008B225A" w:rsidP="008B225A">
      <w:pPr>
        <w:shd w:val="clear" w:color="auto" w:fill="FFFFFF"/>
        <w:contextualSpacing/>
        <w:jc w:val="both"/>
        <w:rPr>
          <w:bCs/>
          <w:sz w:val="26"/>
          <w:szCs w:val="26"/>
        </w:rPr>
      </w:pPr>
    </w:p>
    <w:p w:rsidR="008B225A" w:rsidRPr="00DE2512" w:rsidRDefault="008B225A" w:rsidP="008B225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 вопросу «О рекомендациях по размеру дивиденда по акциям АО «Калининградская генерирующая компания» за 2022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8B225A" w:rsidRPr="00DE2512" w:rsidRDefault="008B225A" w:rsidP="008B225A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bookmarkStart w:id="11" w:name="_Hlk132094070"/>
      <w:r w:rsidRPr="00DE2512">
        <w:rPr>
          <w:bCs/>
          <w:sz w:val="28"/>
          <w:szCs w:val="28"/>
        </w:rPr>
        <w:t>Рекомендовать годовому Общему собранию акционеров АО «Калининградская генерирующая компания» принять следующее решение:</w:t>
      </w:r>
    </w:p>
    <w:p w:rsidR="008B225A" w:rsidRPr="00DE2512" w:rsidRDefault="008B225A" w:rsidP="008B225A">
      <w:pPr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DE2512">
        <w:rPr>
          <w:bCs/>
          <w:sz w:val="28"/>
          <w:szCs w:val="28"/>
        </w:rPr>
        <w:t xml:space="preserve">АО «Калининградская генерирующая компания» </w:t>
      </w:r>
      <w:r w:rsidRPr="00DE2512">
        <w:rPr>
          <w:rFonts w:eastAsia="Arial Unicode MS"/>
          <w:sz w:val="28"/>
          <w:szCs w:val="28"/>
        </w:rPr>
        <w:t>по итогам 2022 года в размере 1,021742</w:t>
      </w:r>
      <w:r w:rsidRPr="00DE2512">
        <w:rPr>
          <w:sz w:val="28"/>
          <w:szCs w:val="28"/>
        </w:rPr>
        <w:t xml:space="preserve"> рублей</w:t>
      </w:r>
      <w:r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8B225A" w:rsidRPr="00DE2512" w:rsidRDefault="008B225A" w:rsidP="008B225A">
      <w:pPr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8B225A" w:rsidRPr="00DE2512" w:rsidRDefault="008B225A" w:rsidP="008B225A">
      <w:pPr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8B225A" w:rsidRPr="00DE2512" w:rsidRDefault="008B225A" w:rsidP="000C21CF">
      <w:pPr>
        <w:tabs>
          <w:tab w:val="left" w:pos="1418"/>
        </w:tabs>
        <w:contextualSpacing/>
        <w:jc w:val="both"/>
        <w:rPr>
          <w:rFonts w:eastAsia="Calibri"/>
          <w:sz w:val="28"/>
          <w:szCs w:val="28"/>
        </w:rPr>
      </w:pPr>
    </w:p>
    <w:bookmarkEnd w:id="11"/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в Совете директоров АО «Янтарьэнергосбыт» п</w:t>
      </w:r>
      <w:r w:rsidRPr="00DE2512">
        <w:rPr>
          <w:bCs/>
          <w:iCs/>
          <w:sz w:val="28"/>
          <w:szCs w:val="28"/>
        </w:rPr>
        <w:t xml:space="preserve">о вопросу «О рекомендациях по распределению прибыли (убытков) АО «Янтарьэнергосбыт» по результатам 2022 года»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8B225A" w:rsidRPr="00DE2512" w:rsidRDefault="00801867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bookmarkStart w:id="12" w:name="_Hlk132094111"/>
      <w:r w:rsidRPr="00DE2512">
        <w:rPr>
          <w:sz w:val="28"/>
          <w:szCs w:val="28"/>
        </w:rPr>
        <w:t xml:space="preserve"> </w:t>
      </w:r>
      <w:r w:rsidR="008B225A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8B225A" w:rsidRPr="00DE2512">
        <w:rPr>
          <w:bCs/>
          <w:iCs/>
          <w:sz w:val="28"/>
          <w:szCs w:val="28"/>
        </w:rPr>
        <w:t xml:space="preserve">АО «Янтарьэнергосбыт» </w:t>
      </w:r>
      <w:r w:rsidR="008B225A" w:rsidRPr="00DE2512">
        <w:rPr>
          <w:sz w:val="28"/>
          <w:szCs w:val="28"/>
        </w:rPr>
        <w:t xml:space="preserve">утвердить следующее распределение прибыли (убытков) </w:t>
      </w:r>
      <w:r w:rsidR="008B225A" w:rsidRPr="00DE2512">
        <w:rPr>
          <w:bCs/>
          <w:iCs/>
          <w:sz w:val="28"/>
          <w:szCs w:val="28"/>
        </w:rPr>
        <w:t xml:space="preserve">АО «Янтарьэнергосбыт» </w:t>
      </w:r>
      <w:r w:rsidR="008B225A" w:rsidRPr="00DE2512">
        <w:rPr>
          <w:sz w:val="28"/>
          <w:szCs w:val="28"/>
        </w:rPr>
        <w:t>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8B225A" w:rsidRPr="00DE2512" w:rsidTr="00C32325">
        <w:trPr>
          <w:tblHeader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390"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tabs>
                <w:tab w:val="left" w:pos="224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783 181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tabs>
                <w:tab w:val="left" w:pos="224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397 342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385 839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bookmarkEnd w:id="12"/>
    </w:tbl>
    <w:p w:rsidR="008B225A" w:rsidRPr="00DE2512" w:rsidRDefault="008B225A" w:rsidP="008B225A">
      <w:pPr>
        <w:contextualSpacing/>
        <w:jc w:val="both"/>
        <w:rPr>
          <w:sz w:val="26"/>
          <w:szCs w:val="26"/>
        </w:rPr>
      </w:pPr>
    </w:p>
    <w:p w:rsidR="008B225A" w:rsidRPr="00DE2512" w:rsidRDefault="008B225A" w:rsidP="008B225A">
      <w:pPr>
        <w:ind w:firstLine="709"/>
        <w:contextualSpacing/>
        <w:jc w:val="both"/>
        <w:rPr>
          <w:sz w:val="28"/>
          <w:szCs w:val="28"/>
          <w:u w:val="single"/>
        </w:rPr>
      </w:pPr>
      <w:r w:rsidRPr="00DE2512">
        <w:rPr>
          <w:sz w:val="28"/>
          <w:szCs w:val="28"/>
        </w:rPr>
        <w:t>По вопросу «</w:t>
      </w:r>
      <w:r w:rsidRPr="00DE2512">
        <w:rPr>
          <w:spacing w:val="-3"/>
          <w:w w:val="102"/>
          <w:sz w:val="28"/>
          <w:szCs w:val="28"/>
        </w:rPr>
        <w:t xml:space="preserve">О рекомендациях по размеру дивидендов по акциям АО «Янтарьэнергосбыт» за 2022 год, порядку их выплаты и о предложениях годовому Общему собранию акционеров по определению даты, на которую </w:t>
      </w:r>
      <w:r w:rsidRPr="00DE2512">
        <w:rPr>
          <w:spacing w:val="-3"/>
          <w:w w:val="102"/>
          <w:sz w:val="28"/>
          <w:szCs w:val="28"/>
        </w:rPr>
        <w:lastRenderedPageBreak/>
        <w:t>определяются лица, имеющие право на получение дивидендов»</w:t>
      </w:r>
      <w:r w:rsidRPr="00DE2512">
        <w:rPr>
          <w:bCs/>
          <w:iCs/>
          <w:sz w:val="28"/>
          <w:szCs w:val="28"/>
        </w:rPr>
        <w:t xml:space="preserve">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8B225A" w:rsidRPr="00DE2512" w:rsidRDefault="00801867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bookmarkStart w:id="13" w:name="_Hlk132094172"/>
      <w:r w:rsidRPr="00DE2512">
        <w:rPr>
          <w:sz w:val="28"/>
          <w:szCs w:val="28"/>
        </w:rPr>
        <w:t xml:space="preserve"> </w:t>
      </w:r>
      <w:r w:rsidR="008B225A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8B225A" w:rsidRPr="00DE2512">
        <w:rPr>
          <w:bCs/>
          <w:iCs/>
          <w:sz w:val="28"/>
          <w:szCs w:val="28"/>
        </w:rPr>
        <w:t>АО «Янтарьэнергосбыт»</w:t>
      </w:r>
      <w:r w:rsidR="008B225A" w:rsidRPr="00DE2512">
        <w:rPr>
          <w:sz w:val="28"/>
          <w:szCs w:val="28"/>
        </w:rPr>
        <w:t xml:space="preserve"> принять следующее решение:</w:t>
      </w:r>
    </w:p>
    <w:p w:rsidR="008B225A" w:rsidRPr="00DE2512" w:rsidRDefault="008B225A" w:rsidP="008B225A">
      <w:pPr>
        <w:widowControl w:val="0"/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DE2512">
        <w:rPr>
          <w:bCs/>
          <w:iCs/>
          <w:sz w:val="28"/>
          <w:szCs w:val="28"/>
        </w:rPr>
        <w:t xml:space="preserve">АО «Янтарьэнергосбыт» </w:t>
      </w:r>
      <w:r w:rsidRPr="00DE2512">
        <w:rPr>
          <w:rFonts w:eastAsia="Arial Unicode MS"/>
          <w:sz w:val="28"/>
          <w:szCs w:val="28"/>
        </w:rPr>
        <w:t xml:space="preserve">по итогам 2022 года в размере </w:t>
      </w:r>
      <w:r w:rsidRPr="00DE2512">
        <w:rPr>
          <w:sz w:val="28"/>
          <w:szCs w:val="28"/>
        </w:rPr>
        <w:t>897,3 рублей</w:t>
      </w:r>
      <w:r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8B225A" w:rsidRPr="00DE2512" w:rsidRDefault="008B225A" w:rsidP="008B225A">
      <w:pPr>
        <w:widowControl w:val="0"/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  <w:bookmarkEnd w:id="13"/>
    </w:p>
    <w:p w:rsidR="008B225A" w:rsidRPr="00DE2512" w:rsidRDefault="008B225A" w:rsidP="008B225A">
      <w:pPr>
        <w:widowControl w:val="0"/>
        <w:numPr>
          <w:ilvl w:val="2"/>
          <w:numId w:val="22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8B225A" w:rsidRPr="00DE2512" w:rsidRDefault="008B225A" w:rsidP="008B225A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</w:rPr>
      </w:pPr>
    </w:p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в Совете директоров АО «Янтарьэнергосервис» п</w:t>
      </w:r>
      <w:r w:rsidRPr="00DE2512">
        <w:rPr>
          <w:bCs/>
          <w:iCs/>
          <w:sz w:val="28"/>
          <w:szCs w:val="28"/>
        </w:rPr>
        <w:t xml:space="preserve">о вопросу «О рекомендациях по распределению прибыли (убытков) АО «Янтарьэнергосервис» по результатам 2022 года»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8B225A" w:rsidRPr="00DE2512" w:rsidRDefault="00801867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bookmarkStart w:id="14" w:name="_Hlk132094204"/>
      <w:r w:rsidRPr="00DE2512">
        <w:rPr>
          <w:sz w:val="28"/>
          <w:szCs w:val="28"/>
        </w:rPr>
        <w:t xml:space="preserve"> </w:t>
      </w:r>
      <w:r w:rsidR="008B225A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8B225A" w:rsidRPr="00DE2512">
        <w:rPr>
          <w:bCs/>
          <w:iCs/>
          <w:sz w:val="28"/>
          <w:szCs w:val="28"/>
        </w:rPr>
        <w:t>АО «Янтарьэнергосервис»</w:t>
      </w:r>
      <w:r w:rsidR="008B225A" w:rsidRPr="00DE2512">
        <w:rPr>
          <w:sz w:val="28"/>
          <w:szCs w:val="28"/>
        </w:rPr>
        <w:t xml:space="preserve"> утвердить следующее распределение прибыли (убытков) Общества 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220"/>
        </w:trPr>
        <w:tc>
          <w:tcPr>
            <w:tcW w:w="4254" w:type="pct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7 533</w:t>
            </w:r>
          </w:p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7 533</w:t>
            </w:r>
          </w:p>
        </w:tc>
      </w:tr>
      <w:bookmarkEnd w:id="14"/>
    </w:tbl>
    <w:p w:rsidR="008B225A" w:rsidRPr="00DE2512" w:rsidRDefault="008B225A" w:rsidP="008B225A">
      <w:pPr>
        <w:widowControl w:val="0"/>
        <w:tabs>
          <w:tab w:val="left" w:pos="900"/>
        </w:tabs>
        <w:contextualSpacing/>
        <w:jc w:val="both"/>
        <w:rPr>
          <w:sz w:val="26"/>
          <w:szCs w:val="26"/>
        </w:rPr>
      </w:pPr>
    </w:p>
    <w:p w:rsidR="008B225A" w:rsidRPr="00DE2512" w:rsidRDefault="008B225A" w:rsidP="008B225A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По вопросу «</w:t>
      </w:r>
      <w:r w:rsidRPr="00DE2512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«Янтарьэнергосервис» за 2022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DE2512">
        <w:rPr>
          <w:sz w:val="28"/>
          <w:szCs w:val="28"/>
        </w:rPr>
        <w:t xml:space="preserve"> голосовать «ЗА» принятие следующего решения:</w:t>
      </w:r>
    </w:p>
    <w:p w:rsidR="008B225A" w:rsidRPr="00DE2512" w:rsidRDefault="008B225A" w:rsidP="008B225A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bookmarkStart w:id="15" w:name="_Hlk132094231"/>
      <w:r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Pr="00DE2512">
        <w:rPr>
          <w:bCs/>
          <w:iCs/>
          <w:sz w:val="28"/>
          <w:szCs w:val="28"/>
        </w:rPr>
        <w:t>АО «Янтарьэнергосервис»</w:t>
      </w:r>
      <w:r w:rsidRPr="00DE2512">
        <w:rPr>
          <w:sz w:val="28"/>
          <w:szCs w:val="28"/>
        </w:rPr>
        <w:t xml:space="preserve"> принять следующее решение:</w:t>
      </w:r>
    </w:p>
    <w:p w:rsidR="008B225A" w:rsidRPr="00DE2512" w:rsidRDefault="008B225A" w:rsidP="008B225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Не выплачивать дивиденды по обыкновенным акциям АО «Янтарьэнергосервис» по итогам 2022 года в связи с наличием ограничений на выплату дивидендов, предусмотренных действующим законодательством Российской Федерации.</w:t>
      </w:r>
    </w:p>
    <w:bookmarkEnd w:id="15"/>
    <w:p w:rsidR="008B225A" w:rsidRPr="00DE2512" w:rsidRDefault="008B225A" w:rsidP="008B225A">
      <w:pPr>
        <w:contextualSpacing/>
        <w:jc w:val="both"/>
        <w:rPr>
          <w:bCs/>
          <w:sz w:val="28"/>
          <w:szCs w:val="28"/>
        </w:rPr>
      </w:pPr>
    </w:p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на Общем собрании акционеров АО «Калининградская генерирующая компания» п</w:t>
      </w:r>
      <w:r w:rsidRPr="00DE2512">
        <w:rPr>
          <w:sz w:val="28"/>
          <w:szCs w:val="28"/>
        </w:rPr>
        <w:t>о вопросу: «О</w:t>
      </w:r>
      <w:r w:rsidR="00FA54E6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 xml:space="preserve">распределении прибыли (в том числе о выплате (объявлении) дивидендов) и убытков </w:t>
      </w:r>
      <w:r w:rsidRPr="00DE2512">
        <w:rPr>
          <w:bCs/>
          <w:sz w:val="28"/>
          <w:szCs w:val="28"/>
        </w:rPr>
        <w:t>АО «Калининградская генерирующая компания»</w:t>
      </w:r>
      <w:r w:rsidRPr="00DE2512">
        <w:rPr>
          <w:sz w:val="28"/>
          <w:szCs w:val="28"/>
        </w:rPr>
        <w:t xml:space="preserve"> по результатам </w:t>
      </w:r>
      <w:r w:rsidRPr="00DE2512">
        <w:rPr>
          <w:sz w:val="28"/>
          <w:szCs w:val="28"/>
        </w:rPr>
        <w:lastRenderedPageBreak/>
        <w:t>2022 года» голосовать «ЗА» принятие следующего решения:</w:t>
      </w:r>
    </w:p>
    <w:p w:rsidR="008B225A" w:rsidRPr="00DE2512" w:rsidRDefault="00801867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 </w:t>
      </w:r>
      <w:r w:rsidR="008B225A" w:rsidRPr="00DE2512">
        <w:rPr>
          <w:sz w:val="28"/>
          <w:szCs w:val="28"/>
        </w:rPr>
        <w:t xml:space="preserve">Утвердить следующее распределение прибыли (убытков) </w:t>
      </w:r>
      <w:r w:rsidR="008B225A" w:rsidRPr="00DE2512">
        <w:rPr>
          <w:bCs/>
          <w:sz w:val="28"/>
          <w:szCs w:val="28"/>
        </w:rPr>
        <w:t>АО «Калининградская генерирующая компания»</w:t>
      </w:r>
      <w:r w:rsidR="008B225A" w:rsidRPr="00DE2512">
        <w:rPr>
          <w:sz w:val="28"/>
          <w:szCs w:val="28"/>
        </w:rPr>
        <w:t xml:space="preserve"> за 2022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8"/>
        <w:gridCol w:w="1378"/>
      </w:tblGrid>
      <w:tr w:rsidR="008B225A" w:rsidRPr="00DE2512" w:rsidTr="00C32325">
        <w:trPr>
          <w:trHeight w:val="302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bookmarkStart w:id="16" w:name="_Hlk132094283"/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548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27 808</w:t>
            </w:r>
          </w:p>
        </w:tc>
      </w:tr>
      <w:tr w:rsidR="008B225A" w:rsidRPr="00DE2512" w:rsidTr="00C32325">
        <w:trPr>
          <w:trHeight w:val="118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Резервный фонд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188</w:t>
            </w:r>
          </w:p>
        </w:tc>
      </w:tr>
      <w:tr w:rsidR="008B225A" w:rsidRPr="00DE2512" w:rsidTr="00C32325">
        <w:trPr>
          <w:trHeight w:val="351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Прибыль на развитие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13 716</w:t>
            </w:r>
          </w:p>
        </w:tc>
      </w:tr>
      <w:tr w:rsidR="008B225A" w:rsidRPr="00DE2512" w:rsidTr="00C32325">
        <w:trPr>
          <w:trHeight w:val="302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 </w:t>
            </w:r>
            <w:r w:rsidRPr="00DE2512">
              <w:rPr>
                <w:sz w:val="24"/>
                <w:szCs w:val="24"/>
              </w:rPr>
              <w:t>Дивиденды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13 904</w:t>
            </w:r>
          </w:p>
        </w:tc>
      </w:tr>
      <w:tr w:rsidR="008B225A" w:rsidRPr="00DE2512" w:rsidTr="00C32325">
        <w:trPr>
          <w:trHeight w:val="281"/>
        </w:trPr>
        <w:tc>
          <w:tcPr>
            <w:tcW w:w="4263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 </w:t>
            </w:r>
            <w:r w:rsidRPr="00DE2512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737" w:type="pct"/>
            <w:shd w:val="clear" w:color="auto" w:fill="FFFFFF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</w:tbl>
    <w:p w:rsidR="008B225A" w:rsidRPr="00DE2512" w:rsidRDefault="008B225A" w:rsidP="008B225A">
      <w:pPr>
        <w:tabs>
          <w:tab w:val="left" w:pos="1134"/>
        </w:tabs>
        <w:ind w:right="-1"/>
        <w:contextualSpacing/>
        <w:jc w:val="both"/>
        <w:rPr>
          <w:rFonts w:eastAsia="Arial Unicode MS"/>
          <w:sz w:val="26"/>
          <w:szCs w:val="26"/>
        </w:rPr>
      </w:pPr>
      <w:bookmarkStart w:id="17" w:name="_Hlk132094332"/>
      <w:bookmarkEnd w:id="16"/>
    </w:p>
    <w:p w:rsidR="008B225A" w:rsidRPr="00DE2512" w:rsidRDefault="00801867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8B225A"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="008B225A" w:rsidRPr="00DE2512">
        <w:rPr>
          <w:bCs/>
          <w:sz w:val="28"/>
          <w:szCs w:val="28"/>
        </w:rPr>
        <w:t xml:space="preserve">АО «Калининградская генерирующая компания» </w:t>
      </w:r>
      <w:r w:rsidR="008B225A" w:rsidRPr="00DE2512">
        <w:rPr>
          <w:rFonts w:eastAsia="Arial Unicode MS"/>
          <w:sz w:val="28"/>
          <w:szCs w:val="28"/>
        </w:rPr>
        <w:t>по итогам 2022 года в размере 1,021742</w:t>
      </w:r>
      <w:r w:rsidR="008B225A" w:rsidRPr="00DE2512">
        <w:rPr>
          <w:sz w:val="28"/>
          <w:szCs w:val="28"/>
        </w:rPr>
        <w:t xml:space="preserve"> рублей</w:t>
      </w:r>
      <w:r w:rsidR="008B225A"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8B225A" w:rsidRPr="00DE2512" w:rsidRDefault="001F517A" w:rsidP="008B225A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8B225A"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156C23" w:rsidRPr="00DE2512" w:rsidRDefault="00156C23" w:rsidP="00156C23">
      <w:pPr>
        <w:numPr>
          <w:ilvl w:val="1"/>
          <w:numId w:val="22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156C23" w:rsidRPr="00DE2512" w:rsidRDefault="00156C23" w:rsidP="000C21CF">
      <w:pPr>
        <w:tabs>
          <w:tab w:val="left" w:pos="1134"/>
        </w:tabs>
        <w:ind w:right="-1"/>
        <w:contextualSpacing/>
        <w:jc w:val="both"/>
        <w:rPr>
          <w:rFonts w:eastAsia="Arial Unicode MS"/>
          <w:sz w:val="28"/>
          <w:szCs w:val="28"/>
        </w:rPr>
      </w:pPr>
    </w:p>
    <w:bookmarkEnd w:id="17"/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 xml:space="preserve">Поручить представителям Общества на Общем собрании акционеров АО «Янтарьэнергосбыт» по вопросу </w:t>
      </w:r>
      <w:r w:rsidRPr="00DE2512">
        <w:rPr>
          <w:sz w:val="28"/>
          <w:szCs w:val="28"/>
        </w:rPr>
        <w:t xml:space="preserve">«О распределении прибыли (в том числе о выплате (объявлении) дивидендов) и убытков </w:t>
      </w:r>
      <w:r w:rsidRPr="00DE2512">
        <w:rPr>
          <w:bCs/>
          <w:iCs/>
          <w:sz w:val="28"/>
          <w:szCs w:val="28"/>
        </w:rPr>
        <w:t>АО «Янтарьэнергосбыт»</w:t>
      </w:r>
      <w:r w:rsidRPr="00DE2512">
        <w:rPr>
          <w:sz w:val="28"/>
          <w:szCs w:val="28"/>
        </w:rPr>
        <w:t xml:space="preserve"> по результатам 2022 года» голосовать «ЗА» принятие следующего решения:</w:t>
      </w:r>
    </w:p>
    <w:p w:rsidR="008B225A" w:rsidRPr="00DE2512" w:rsidRDefault="008B225A" w:rsidP="00801867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 xml:space="preserve">Утвердить следующее распределение прибыли (убытков) </w:t>
      </w:r>
      <w:r w:rsidRPr="00DE2512">
        <w:rPr>
          <w:bCs/>
          <w:iCs/>
          <w:sz w:val="28"/>
          <w:szCs w:val="28"/>
        </w:rPr>
        <w:t>АО «Янтарьэнергосбыт»</w:t>
      </w:r>
      <w:r w:rsidR="00801867" w:rsidRPr="00DE2512">
        <w:rPr>
          <w:bCs/>
          <w:sz w:val="28"/>
          <w:szCs w:val="28"/>
        </w:rPr>
        <w:t xml:space="preserve"> 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jc w:val="center"/>
              <w:rPr>
                <w:sz w:val="24"/>
                <w:szCs w:val="24"/>
              </w:rPr>
            </w:pPr>
            <w:bookmarkStart w:id="18" w:name="_Hlk132094429"/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226"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783 181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397 342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385 839</w:t>
            </w:r>
          </w:p>
        </w:tc>
      </w:tr>
      <w:tr w:rsidR="008B225A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bookmarkEnd w:id="18"/>
    </w:tbl>
    <w:p w:rsidR="008B225A" w:rsidRPr="00DE2512" w:rsidRDefault="008B225A" w:rsidP="008B225A">
      <w:pPr>
        <w:contextualSpacing/>
        <w:jc w:val="both"/>
        <w:rPr>
          <w:bCs/>
          <w:sz w:val="26"/>
          <w:szCs w:val="26"/>
        </w:rPr>
      </w:pPr>
    </w:p>
    <w:p w:rsidR="008B225A" w:rsidRPr="00DE2512" w:rsidRDefault="008B225A" w:rsidP="00801867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bookmarkStart w:id="19" w:name="_Hlk132094509"/>
      <w:r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DE2512">
        <w:rPr>
          <w:bCs/>
          <w:iCs/>
          <w:sz w:val="28"/>
          <w:szCs w:val="28"/>
        </w:rPr>
        <w:t>АО «Янтарьэнергосбыт»</w:t>
      </w:r>
      <w:r w:rsidRPr="00DE2512">
        <w:rPr>
          <w:rFonts w:eastAsia="Arial Unicode MS"/>
          <w:sz w:val="28"/>
          <w:szCs w:val="28"/>
        </w:rPr>
        <w:t xml:space="preserve"> по итогам 2022 года в размере </w:t>
      </w:r>
      <w:r w:rsidRPr="00DE2512">
        <w:rPr>
          <w:sz w:val="28"/>
          <w:szCs w:val="28"/>
        </w:rPr>
        <w:t>897,3 рублей</w:t>
      </w:r>
      <w:r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  <w:bookmarkEnd w:id="19"/>
    </w:p>
    <w:p w:rsidR="008B225A" w:rsidRPr="00DE2512" w:rsidRDefault="008B225A" w:rsidP="00801867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bookmarkStart w:id="20" w:name="_Hlk132094524"/>
      <w:r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8B225A" w:rsidRPr="00DE2512" w:rsidRDefault="008B225A" w:rsidP="00801867">
      <w:pPr>
        <w:numPr>
          <w:ilvl w:val="1"/>
          <w:numId w:val="22"/>
        </w:numPr>
        <w:tabs>
          <w:tab w:val="left" w:pos="1276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8B225A" w:rsidRPr="00DE2512" w:rsidRDefault="008B225A" w:rsidP="000C21CF">
      <w:pPr>
        <w:tabs>
          <w:tab w:val="left" w:pos="1134"/>
        </w:tabs>
        <w:contextualSpacing/>
        <w:jc w:val="both"/>
        <w:rPr>
          <w:rFonts w:eastAsia="Arial Unicode MS"/>
          <w:sz w:val="28"/>
          <w:szCs w:val="28"/>
        </w:rPr>
      </w:pPr>
    </w:p>
    <w:bookmarkEnd w:id="20"/>
    <w:p w:rsidR="008B225A" w:rsidRPr="00DE2512" w:rsidRDefault="008B225A" w:rsidP="008B225A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lastRenderedPageBreak/>
        <w:t>Поручить представителям Общества на Общем собрании акционеров АО «Янтарьэнергосервис» п</w:t>
      </w:r>
      <w:r w:rsidRPr="00DE2512">
        <w:rPr>
          <w:sz w:val="28"/>
          <w:szCs w:val="28"/>
        </w:rPr>
        <w:t xml:space="preserve">о вопросу: «О распределении прибыли (в том числе о выплате (объявлении) дивидендов) и убытков </w:t>
      </w:r>
      <w:r w:rsidRPr="00DE2512">
        <w:rPr>
          <w:bCs/>
          <w:iCs/>
          <w:sz w:val="28"/>
          <w:szCs w:val="28"/>
        </w:rPr>
        <w:t>АО «Янтарьэнергосервис»</w:t>
      </w:r>
      <w:r w:rsidRPr="00DE2512">
        <w:rPr>
          <w:sz w:val="28"/>
          <w:szCs w:val="28"/>
        </w:rPr>
        <w:t xml:space="preserve"> по результатам 2022 года» голосовать «ЗА» принятие следующего решения:</w:t>
      </w:r>
    </w:p>
    <w:p w:rsidR="008B225A" w:rsidRPr="00DE2512" w:rsidRDefault="001F517A" w:rsidP="008B225A">
      <w:pPr>
        <w:numPr>
          <w:ilvl w:val="1"/>
          <w:numId w:val="22"/>
        </w:numPr>
        <w:tabs>
          <w:tab w:val="left" w:pos="1134"/>
        </w:tabs>
        <w:ind w:left="0" w:firstLine="708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 xml:space="preserve"> </w:t>
      </w:r>
      <w:r w:rsidR="008B225A" w:rsidRPr="00DE2512">
        <w:rPr>
          <w:bCs/>
          <w:sz w:val="28"/>
          <w:szCs w:val="28"/>
        </w:rPr>
        <w:t xml:space="preserve">Утвердить следующее распределение прибыли (убытков) </w:t>
      </w:r>
      <w:r w:rsidR="008B225A" w:rsidRPr="00DE2512">
        <w:rPr>
          <w:bCs/>
          <w:iCs/>
          <w:sz w:val="28"/>
          <w:szCs w:val="28"/>
        </w:rPr>
        <w:t>АО «Янтарьэнергосервис»</w:t>
      </w:r>
      <w:r w:rsidR="008B225A" w:rsidRPr="00DE2512">
        <w:rPr>
          <w:bCs/>
          <w:sz w:val="28"/>
          <w:szCs w:val="28"/>
        </w:rPr>
        <w:t xml:space="preserve"> 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8B225A" w:rsidRPr="00DE2512" w:rsidTr="00C32325">
        <w:trPr>
          <w:tblHeader/>
        </w:trPr>
        <w:tc>
          <w:tcPr>
            <w:tcW w:w="4254" w:type="pct"/>
          </w:tcPr>
          <w:p w:rsidR="008B225A" w:rsidRPr="00DE2512" w:rsidRDefault="008B225A" w:rsidP="008B225A">
            <w:pPr>
              <w:contextualSpacing/>
              <w:jc w:val="center"/>
              <w:rPr>
                <w:sz w:val="24"/>
                <w:szCs w:val="24"/>
              </w:rPr>
            </w:pPr>
            <w:bookmarkStart w:id="21" w:name="_Hlk132094568"/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</w:tcPr>
          <w:p w:rsidR="008B225A" w:rsidRPr="00DE2512" w:rsidRDefault="008B225A" w:rsidP="008B225A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8B225A" w:rsidRPr="00DE2512" w:rsidTr="00C32325">
        <w:trPr>
          <w:trHeight w:val="413"/>
        </w:trPr>
        <w:tc>
          <w:tcPr>
            <w:tcW w:w="4254" w:type="pct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7 533</w:t>
            </w:r>
          </w:p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225A" w:rsidRPr="00DE2512" w:rsidTr="00C32325">
        <w:tc>
          <w:tcPr>
            <w:tcW w:w="4254" w:type="pct"/>
          </w:tcPr>
          <w:p w:rsidR="008B225A" w:rsidRPr="00DE2512" w:rsidRDefault="008B225A" w:rsidP="008B225A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vAlign w:val="center"/>
          </w:tcPr>
          <w:p w:rsidR="008B225A" w:rsidRPr="00DE2512" w:rsidRDefault="008B225A" w:rsidP="008B225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7 533</w:t>
            </w:r>
          </w:p>
        </w:tc>
      </w:tr>
      <w:bookmarkEnd w:id="21"/>
    </w:tbl>
    <w:p w:rsidR="008B225A" w:rsidRPr="00DE2512" w:rsidRDefault="008B225A" w:rsidP="008B225A">
      <w:pPr>
        <w:tabs>
          <w:tab w:val="left" w:pos="900"/>
        </w:tabs>
        <w:contextualSpacing/>
        <w:jc w:val="both"/>
        <w:rPr>
          <w:sz w:val="26"/>
          <w:szCs w:val="26"/>
        </w:rPr>
      </w:pPr>
    </w:p>
    <w:p w:rsidR="008B225A" w:rsidRPr="00DE2512" w:rsidRDefault="001F517A" w:rsidP="008B225A">
      <w:pPr>
        <w:numPr>
          <w:ilvl w:val="1"/>
          <w:numId w:val="22"/>
        </w:numPr>
        <w:tabs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bookmarkStart w:id="22" w:name="_Hlk132094586"/>
      <w:r w:rsidRPr="00DE2512">
        <w:rPr>
          <w:sz w:val="28"/>
          <w:szCs w:val="28"/>
        </w:rPr>
        <w:t xml:space="preserve"> </w:t>
      </w:r>
      <w:r w:rsidR="008B225A" w:rsidRPr="00DE2512">
        <w:rPr>
          <w:sz w:val="28"/>
          <w:szCs w:val="28"/>
        </w:rPr>
        <w:t>Не выплачивать дивиденды по обыкновенным акциям АО «Янтарьэнергосервис» по итогам 2022 года в связи с наличием ограничений на выплату дивидендов, предусмотренных действующим законодательством Российской Федерации.</w:t>
      </w:r>
      <w:bookmarkEnd w:id="9"/>
      <w:bookmarkEnd w:id="22"/>
    </w:p>
    <w:p w:rsidR="00A76A1D" w:rsidRPr="00DE2512" w:rsidRDefault="00A76A1D" w:rsidP="000C21CF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6A1D" w:rsidRPr="00DE2512" w:rsidRDefault="00A76A1D" w:rsidP="00A76A1D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E2512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A76A1D" w:rsidRPr="00DE2512" w:rsidTr="000B4802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76A1D" w:rsidRPr="00DE2512" w:rsidRDefault="00A76A1D" w:rsidP="00C3232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76A1D" w:rsidRPr="00DE2512" w:rsidTr="000B4802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A76A1D" w:rsidRPr="00DE2512" w:rsidRDefault="00A76A1D" w:rsidP="00C3232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A76A1D" w:rsidRPr="00DE2512" w:rsidRDefault="00A76A1D" w:rsidP="00C3232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A76A1D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DE251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6A1D" w:rsidRPr="00DE2512" w:rsidTr="000B4802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1D" w:rsidRPr="00DE2512" w:rsidRDefault="00A76A1D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1D" w:rsidRPr="00DE2512" w:rsidRDefault="00A76A1D" w:rsidP="00C3232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2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76A1D" w:rsidRPr="00DE2512" w:rsidRDefault="000B4802" w:rsidP="00A76A1D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A76A1D" w:rsidRPr="00DE2512" w:rsidRDefault="00A76A1D" w:rsidP="00A76A1D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A76A1D" w:rsidRPr="00DE2512" w:rsidRDefault="00A76A1D" w:rsidP="000C21CF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E76E2" w:rsidRPr="00DE2512" w:rsidRDefault="00D26813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DE2512" w:rsidRDefault="00D26813" w:rsidP="000C21CF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DE2512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01.01.2023, согласно приложению к настоящему решению Совета директоров Общества.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 xml:space="preserve"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</w:t>
      </w:r>
      <w:r w:rsidRPr="00DE2512">
        <w:rPr>
          <w:sz w:val="28"/>
          <w:szCs w:val="28"/>
        </w:rPr>
        <w:lastRenderedPageBreak/>
        <w:t>сложившихся на 01.10.2022, согласно приложению к настоящему решению Совета директоров Общества.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3.</w:t>
      </w:r>
      <w:r w:rsidRPr="00DE2512">
        <w:rPr>
          <w:sz w:val="28"/>
          <w:szCs w:val="28"/>
        </w:rPr>
        <w:tab/>
        <w:t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4 квартале 2022 года, согласно приложению к настоящему решению Совета директоров Общества.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</w:t>
      </w:r>
      <w:r w:rsidRPr="00DE2512">
        <w:rPr>
          <w:sz w:val="28"/>
          <w:szCs w:val="28"/>
        </w:rPr>
        <w:tab/>
        <w:t>Поручить единоличному исполнительному органу Общества: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4.1.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Обеспечить погашение в 2023 году 150,5 млн рублей просроченной дебиторской задолженности из величины, сложившейся на 01.01.2023, в том числе 150,5 млн рублей в IV квартале 2023 года.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4.2.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Обеспечить по итогам 2023 года представление в рамках данного вопроса информации о ходе исполнения поручения, указанного в п. 4.1 настоящего решения.</w:t>
      </w:r>
    </w:p>
    <w:p w:rsidR="00E30A98" w:rsidRPr="00DE2512" w:rsidRDefault="00E30A98" w:rsidP="000C21CF">
      <w:pPr>
        <w:widowControl w:val="0"/>
        <w:tabs>
          <w:tab w:val="left" w:pos="0"/>
          <w:tab w:val="left" w:pos="1843"/>
        </w:tabs>
        <w:contextualSpacing/>
        <w:jc w:val="both"/>
        <w:rPr>
          <w:sz w:val="28"/>
          <w:szCs w:val="28"/>
        </w:rPr>
      </w:pPr>
    </w:p>
    <w:p w:rsidR="00935848" w:rsidRPr="00DE2512" w:rsidRDefault="0093584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>По вопросу № 2 повестки дня:</w:t>
      </w:r>
    </w:p>
    <w:p w:rsidR="00FC29AA" w:rsidRPr="00DE2512" w:rsidRDefault="00FC29AA" w:rsidP="00FC29AA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отчет подразделения внутреннего аудита АО «Россети Янтарь» о выполнении плана работы и результатах деятельности внутреннего аудита за 2022 год, включая результаты самооценки качества деятельности внутреннего аудита по итогам 2022 года, результаты исполнения в 2022 году плана мероприятий по развитию и совершенствованию деятельности внутреннего аудита Общества на период с 2020 по 2024 годы и плана мероприятий по профессиональному развитию внутренних аудиторов в АО</w:t>
      </w:r>
      <w:r w:rsidR="00FA54E6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«Россети Янтарь» в соответствии с приложением к настоящему решению.</w:t>
      </w:r>
    </w:p>
    <w:p w:rsidR="00E30A98" w:rsidRPr="00DE2512" w:rsidRDefault="00E30A98" w:rsidP="000C21CF">
      <w:pPr>
        <w:widowControl w:val="0"/>
        <w:tabs>
          <w:tab w:val="left" w:pos="0"/>
          <w:tab w:val="left" w:pos="1843"/>
        </w:tabs>
        <w:contextualSpacing/>
        <w:jc w:val="both"/>
        <w:rPr>
          <w:sz w:val="28"/>
          <w:szCs w:val="28"/>
        </w:rPr>
      </w:pPr>
    </w:p>
    <w:p w:rsidR="00935848" w:rsidRPr="00DE2512" w:rsidRDefault="00935848" w:rsidP="000C21CF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>По вопросу № 3 повестки дня: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Отметить позднее (после окончания отчетного 2022 года) вынесение вопроса на рассмотрение Совета директоров Общества и неисполнение приказа ПАО «Россети» от 21.11.2022 № 515 «О внесении изменений в приказ ПАО «Россети» от 15.07.2020 № 300».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Принять к сведению информацию о фактическом значении КПЭ «Показатель перехода на преимущественное использование отечественного программного обеспечения» по итогам 2022 года, равного 95,8% (более целевого значения в 86%) и наличии в Обществе собственного Плана по переходу на преимущественное использование отечественного программного обеспечения (являющегося обязательным условием выполнения данного показателя), утвержденного приказом АО «Россети Янтарь» от 29.12.2022 №</w:t>
      </w:r>
      <w:r w:rsidR="00FA54E6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252.</w:t>
      </w:r>
    </w:p>
    <w:p w:rsidR="00E30A98" w:rsidRPr="00DE2512" w:rsidRDefault="00E30A98" w:rsidP="000C21CF">
      <w:pPr>
        <w:widowControl w:val="0"/>
        <w:tabs>
          <w:tab w:val="left" w:pos="0"/>
          <w:tab w:val="left" w:pos="1843"/>
        </w:tabs>
        <w:contextualSpacing/>
        <w:jc w:val="both"/>
        <w:rPr>
          <w:sz w:val="28"/>
          <w:szCs w:val="28"/>
        </w:rPr>
      </w:pPr>
    </w:p>
    <w:p w:rsidR="00935848" w:rsidRPr="00DE2512" w:rsidRDefault="0093584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>По вопросу № 4 повестки дня: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сводный на принципах РСБУ и консолидированный на принципах МСФО бизнес-планы Группы АО «Россети Янтарь» на 2023 год и принять к сведению прогнозные показатели на 2024-2027 годы в соответствии с приложением к настоящему решению Совета директоров Общества.</w:t>
      </w:r>
    </w:p>
    <w:p w:rsidR="00E30A98" w:rsidRPr="00DE2512" w:rsidRDefault="00E30A98" w:rsidP="000C21CF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96D19" w:rsidRPr="00DE2512" w:rsidRDefault="00496D19" w:rsidP="00DE2512">
      <w:pPr>
        <w:keepNext/>
        <w:keepLines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E2512">
        <w:rPr>
          <w:rFonts w:eastAsiaTheme="minorHAnsi"/>
          <w:b/>
          <w:sz w:val="28"/>
          <w:szCs w:val="28"/>
          <w:lang w:eastAsia="en-US"/>
        </w:rPr>
        <w:lastRenderedPageBreak/>
        <w:t>По вопросу № 5 повестки дня: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Принять к сведению отчет об исполнении бизнес-плана АО «Россети Янтарь» за 2022 год в соответствии с приложением к настоящему решению Совета директоров Общества.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Отметить по итогам работы Общества за 2022 год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5B3E18" w:rsidRPr="00DE2512" w:rsidRDefault="005B3E18" w:rsidP="005B3E18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3.</w:t>
      </w:r>
      <w:r w:rsidRPr="00DE2512">
        <w:rPr>
          <w:sz w:val="28"/>
          <w:szCs w:val="28"/>
        </w:rPr>
        <w:tab/>
        <w:t>Поручить единоличному исполнительному органу АО «Россети Янтарь» разработать и утвердить подробный план мероприятий по подхвату электросетевых активов ТСО, лишающихся статуса, а также ТСО, сохраняющих свой статус.</w:t>
      </w:r>
    </w:p>
    <w:p w:rsidR="00E30A98" w:rsidRPr="00DE2512" w:rsidRDefault="00E30A98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96D19" w:rsidRPr="00DE2512" w:rsidRDefault="00496D19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bookmarkStart w:id="23" w:name="_Hlk127877869"/>
      <w:r w:rsidRPr="00DE2512">
        <w:rPr>
          <w:rFonts w:eastAsiaTheme="minorHAnsi"/>
          <w:b/>
          <w:sz w:val="28"/>
          <w:szCs w:val="28"/>
          <w:lang w:eastAsia="en-US"/>
        </w:rPr>
        <w:t>По вопросу № 6 повестки дня:</w:t>
      </w:r>
    </w:p>
    <w:bookmarkEnd w:id="23"/>
    <w:p w:rsidR="005B3E18" w:rsidRPr="00DE2512" w:rsidRDefault="005B3E18" w:rsidP="005B3E18">
      <w:pPr>
        <w:ind w:firstLine="708"/>
        <w:contextualSpacing/>
        <w:jc w:val="both"/>
        <w:rPr>
          <w:bCs/>
          <w:sz w:val="28"/>
          <w:szCs w:val="28"/>
        </w:rPr>
      </w:pPr>
      <w:r w:rsidRPr="00DE2512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2022 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4"/>
        <w:gridCol w:w="1602"/>
      </w:tblGrid>
      <w:tr w:rsidR="005B3E18" w:rsidRPr="00DE2512" w:rsidTr="00C32325">
        <w:trPr>
          <w:trHeight w:val="60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ind w:left="-284" w:right="-70" w:firstLine="568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ind w:right="-7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5B3E18" w:rsidRPr="00DE2512" w:rsidTr="00C32325">
        <w:trPr>
          <w:trHeight w:val="56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tabs>
                <w:tab w:val="left" w:pos="2268"/>
              </w:tabs>
              <w:ind w:right="179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841 631</w:t>
            </w:r>
          </w:p>
        </w:tc>
      </w:tr>
      <w:tr w:rsidR="005B3E18" w:rsidRPr="00DE2512" w:rsidTr="00C32325">
        <w:trPr>
          <w:trHeight w:val="328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tabs>
                <w:tab w:val="left" w:pos="2268"/>
              </w:tabs>
              <w:ind w:right="179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 Резервный фонд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42 082</w:t>
            </w:r>
          </w:p>
        </w:tc>
      </w:tr>
      <w:tr w:rsidR="005B3E18" w:rsidRPr="00DE2512" w:rsidTr="00C32325">
        <w:trPr>
          <w:trHeight w:val="178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Дивиденды, в том числе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713 924,5</w:t>
            </w:r>
          </w:p>
        </w:tc>
      </w:tr>
      <w:tr w:rsidR="005B3E18" w:rsidRPr="00DE2512" w:rsidTr="00C32325">
        <w:trPr>
          <w:trHeight w:val="814"/>
        </w:trPr>
        <w:tc>
          <w:tcPr>
            <w:tcW w:w="4143" w:type="pct"/>
          </w:tcPr>
          <w:p w:rsidR="005B3E18" w:rsidRPr="00DE2512" w:rsidRDefault="005B3E18" w:rsidP="00C32325">
            <w:pPr>
              <w:ind w:right="194"/>
              <w:contextualSpacing/>
              <w:jc w:val="both"/>
              <w:rPr>
                <w:i/>
                <w:sz w:val="24"/>
                <w:szCs w:val="24"/>
              </w:rPr>
            </w:pPr>
            <w:r w:rsidRPr="00DE2512">
              <w:rPr>
                <w:i/>
                <w:sz w:val="24"/>
                <w:szCs w:val="24"/>
              </w:rPr>
              <w:t>- промежуточные дивиденды по итогам 9 месяцев 2022 года (протокол Правления ПАО «Россети» от 21.12.2022 № 1155, осуществляющего полномочия ВОСА АО «Россети Янтарь»)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326 497</w:t>
            </w:r>
          </w:p>
        </w:tc>
      </w:tr>
      <w:tr w:rsidR="005B3E18" w:rsidRPr="00DE2512" w:rsidTr="00C32325">
        <w:trPr>
          <w:trHeight w:val="274"/>
        </w:trPr>
        <w:tc>
          <w:tcPr>
            <w:tcW w:w="4143" w:type="pct"/>
          </w:tcPr>
          <w:p w:rsidR="005B3E18" w:rsidRPr="00DE2512" w:rsidRDefault="005B3E18" w:rsidP="00C32325">
            <w:pPr>
              <w:ind w:right="194"/>
              <w:contextualSpacing/>
              <w:rPr>
                <w:i/>
                <w:sz w:val="24"/>
                <w:szCs w:val="24"/>
              </w:rPr>
            </w:pPr>
            <w:r w:rsidRPr="00DE2512">
              <w:rPr>
                <w:i/>
                <w:sz w:val="24"/>
                <w:szCs w:val="24"/>
              </w:rPr>
              <w:t>- подлежащая выплате сумма дивидендов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387 427,5</w:t>
            </w:r>
          </w:p>
        </w:tc>
      </w:tr>
      <w:tr w:rsidR="005B3E18" w:rsidRPr="00DE2512" w:rsidTr="00C32325">
        <w:trPr>
          <w:trHeight w:val="56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5B3E18" w:rsidRPr="00DE2512" w:rsidTr="00C32325">
        <w:trPr>
          <w:trHeight w:val="270"/>
        </w:trPr>
        <w:tc>
          <w:tcPr>
            <w:tcW w:w="4143" w:type="pct"/>
            <w:vAlign w:val="center"/>
          </w:tcPr>
          <w:p w:rsidR="005B3E18" w:rsidRPr="00DE2512" w:rsidRDefault="005B3E18" w:rsidP="00C32325">
            <w:pPr>
              <w:ind w:left="1843"/>
              <w:contextualSpacing/>
              <w:jc w:val="both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Прибыль на развитие</w:t>
            </w:r>
          </w:p>
        </w:tc>
        <w:tc>
          <w:tcPr>
            <w:tcW w:w="857" w:type="pct"/>
            <w:vAlign w:val="center"/>
          </w:tcPr>
          <w:p w:rsidR="005B3E18" w:rsidRPr="00DE2512" w:rsidRDefault="005B3E18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85 624,5</w:t>
            </w:r>
          </w:p>
        </w:tc>
      </w:tr>
    </w:tbl>
    <w:p w:rsidR="005B3E18" w:rsidRPr="00DE2512" w:rsidRDefault="005B3E18" w:rsidP="005B3E18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30A98" w:rsidRPr="00DE2512" w:rsidRDefault="00E30A98" w:rsidP="00F82E59">
      <w:pPr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>По вопросу № 7 повестки дня: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>Выплатить дивиденды по обыкновенным акциям Общества по результатам 2022 года в размере 387 427,5 тыс. рублей в денежной форме. Размер дивиденда, выплачиваемого на одну акцию, определяется, как отношение суммы дивидендов (387 427,5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5B3E18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3.</w:t>
      </w:r>
      <w:r w:rsidRPr="00DE2512">
        <w:rPr>
          <w:sz w:val="28"/>
          <w:szCs w:val="28"/>
        </w:rPr>
        <w:tab/>
        <w:t>Определить дату составления списка лиц, имеющих право на получение дивидендов – 11 июля 2023 года.</w:t>
      </w:r>
    </w:p>
    <w:p w:rsidR="00C32325" w:rsidRPr="00DE2512" w:rsidRDefault="00C32325" w:rsidP="000C21CF">
      <w:pPr>
        <w:contextualSpacing/>
        <w:jc w:val="both"/>
        <w:rPr>
          <w:sz w:val="28"/>
          <w:szCs w:val="28"/>
        </w:rPr>
      </w:pPr>
    </w:p>
    <w:p w:rsidR="00C32325" w:rsidRPr="00DE2512" w:rsidRDefault="00C32325" w:rsidP="00DE2512">
      <w:pPr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lastRenderedPageBreak/>
        <w:t>По вопросу № 8 повестки дня: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Утвердить Программу негосударственного пенсионного обеспечения работников Общества на 2023 год согласно приложению к настоящему решению.</w:t>
      </w:r>
    </w:p>
    <w:p w:rsidR="00C32325" w:rsidRPr="00DE2512" w:rsidRDefault="00C32325" w:rsidP="00782170">
      <w:pPr>
        <w:contextualSpacing/>
        <w:jc w:val="both"/>
        <w:rPr>
          <w:sz w:val="28"/>
          <w:szCs w:val="28"/>
        </w:rPr>
      </w:pPr>
    </w:p>
    <w:p w:rsidR="00C32325" w:rsidRPr="00DE2512" w:rsidRDefault="00C32325" w:rsidP="00C32325">
      <w:pPr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>По вопросу № 9 повестки дня: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Поручить представителям АО «Россети Янтарь» по вопросу повестки дня заседания Совета директоров АО «Янтарьэнергосервис»: «О назначении исполняющего обязанности Генерального директора АО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«Янтарьэнергосервис» голосовать «ЗА» принятие следующего решения: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1.</w:t>
      </w:r>
      <w:r w:rsidRPr="00DE2512">
        <w:rPr>
          <w:sz w:val="28"/>
          <w:szCs w:val="28"/>
        </w:rPr>
        <w:tab/>
        <w:t xml:space="preserve">Досрочно прекратить полномочия исполняющего обязанности Генерального директора АО «Янтарьэнергосервис» </w:t>
      </w:r>
      <w:proofErr w:type="spellStart"/>
      <w:r w:rsidRPr="00DE2512">
        <w:rPr>
          <w:sz w:val="28"/>
          <w:szCs w:val="28"/>
        </w:rPr>
        <w:t>Лукьянца</w:t>
      </w:r>
      <w:proofErr w:type="spellEnd"/>
      <w:r w:rsidRPr="00DE2512">
        <w:rPr>
          <w:sz w:val="28"/>
          <w:szCs w:val="28"/>
        </w:rPr>
        <w:t xml:space="preserve"> Юрия Игоревича и прекратить действие трудового договора с ним в соответствии с пунктом 3 части первой статьи 77 Трудового кодекса Российской Федерации.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2.</w:t>
      </w:r>
      <w:r w:rsidRPr="00DE2512">
        <w:rPr>
          <w:sz w:val="28"/>
          <w:szCs w:val="28"/>
        </w:rPr>
        <w:tab/>
        <w:t>Назначить исполняющим обязанности Генерального директора АО</w:t>
      </w:r>
      <w:r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>«Янтарьэнергосервис» Белова Максима Николаевича с даты, следующей за датой решения Совета директоров АО «Янтарьэнергосервис», на срок до момента принятия решения Советом директоров о назначении Генерального директора АО «Янтарьэнергосервис».</w:t>
      </w:r>
    </w:p>
    <w:p w:rsidR="00C32325" w:rsidRPr="00DE2512" w:rsidRDefault="00C32325" w:rsidP="000C21CF">
      <w:pPr>
        <w:contextualSpacing/>
        <w:jc w:val="both"/>
        <w:rPr>
          <w:sz w:val="28"/>
          <w:szCs w:val="28"/>
        </w:rPr>
      </w:pPr>
    </w:p>
    <w:p w:rsidR="00C32325" w:rsidRPr="00DE2512" w:rsidRDefault="00C32325" w:rsidP="00C32325">
      <w:pPr>
        <w:ind w:firstLine="709"/>
        <w:contextualSpacing/>
        <w:jc w:val="both"/>
        <w:rPr>
          <w:b/>
          <w:sz w:val="28"/>
          <w:szCs w:val="28"/>
        </w:rPr>
      </w:pPr>
      <w:r w:rsidRPr="00DE2512">
        <w:rPr>
          <w:b/>
          <w:sz w:val="28"/>
          <w:szCs w:val="28"/>
        </w:rPr>
        <w:t xml:space="preserve">По вопросу № </w:t>
      </w:r>
      <w:r w:rsidRPr="00DE2512">
        <w:rPr>
          <w:b/>
          <w:sz w:val="28"/>
          <w:szCs w:val="28"/>
          <w:lang w:val="en-US"/>
        </w:rPr>
        <w:t>10</w:t>
      </w:r>
      <w:r w:rsidRPr="00DE2512">
        <w:rPr>
          <w:b/>
          <w:sz w:val="28"/>
          <w:szCs w:val="28"/>
        </w:rPr>
        <w:t xml:space="preserve"> повестки дня:</w:t>
      </w: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в Совете директоров АО «Калининградская генерирующая компания» по вопросу: «О</w:t>
      </w:r>
      <w:r w:rsidRPr="00DE2512">
        <w:rPr>
          <w:bCs/>
          <w:sz w:val="28"/>
          <w:szCs w:val="28"/>
          <w:lang w:val="en-US"/>
        </w:rPr>
        <w:t> </w:t>
      </w:r>
      <w:r w:rsidRPr="00DE2512">
        <w:rPr>
          <w:bCs/>
          <w:sz w:val="28"/>
          <w:szCs w:val="28"/>
        </w:rPr>
        <w:t>рекомендациях по распределению прибыли (убытков) АО «Калининградская генерирующая компания» по результатам 2022 года» 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8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 xml:space="preserve"> </w:t>
      </w:r>
      <w:r w:rsidR="00C32325" w:rsidRPr="00DE2512">
        <w:rPr>
          <w:bCs/>
          <w:sz w:val="28"/>
          <w:szCs w:val="28"/>
        </w:rPr>
        <w:t>Рекомендовать годовому Общему собранию акционеров АО «Калининградская генерирующая компания» утвердить следующее распределение прибыли (убытков) АО «Калининградская генерирующая компания» за 2022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8"/>
        <w:gridCol w:w="1378"/>
      </w:tblGrid>
      <w:tr w:rsidR="00C32325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190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27 808</w:t>
            </w:r>
          </w:p>
        </w:tc>
      </w:tr>
      <w:tr w:rsidR="00C32325" w:rsidRPr="00DE2512" w:rsidTr="00C32325">
        <w:trPr>
          <w:trHeight w:val="291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Резервный фонд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188</w:t>
            </w:r>
          </w:p>
        </w:tc>
      </w:tr>
      <w:tr w:rsidR="00C32325" w:rsidRPr="00DE2512" w:rsidTr="00C32325">
        <w:trPr>
          <w:trHeight w:val="291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Прибыль на развитие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13 716</w:t>
            </w:r>
          </w:p>
        </w:tc>
      </w:tr>
      <w:tr w:rsidR="00C32325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</w:t>
            </w:r>
            <w:r w:rsidRPr="00DE2512">
              <w:rPr>
                <w:sz w:val="24"/>
                <w:szCs w:val="24"/>
              </w:rPr>
              <w:t>Дивиденды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13 904</w:t>
            </w:r>
          </w:p>
        </w:tc>
      </w:tr>
      <w:tr w:rsidR="00C32325" w:rsidRPr="00DE2512" w:rsidTr="00C32325">
        <w:trPr>
          <w:trHeight w:val="298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</w:tbl>
    <w:p w:rsidR="00C32325" w:rsidRPr="00DE2512" w:rsidRDefault="00C32325" w:rsidP="00C32325">
      <w:pPr>
        <w:shd w:val="clear" w:color="auto" w:fill="FFFFFF"/>
        <w:contextualSpacing/>
        <w:jc w:val="both"/>
        <w:rPr>
          <w:bCs/>
          <w:sz w:val="26"/>
          <w:szCs w:val="26"/>
        </w:rPr>
      </w:pPr>
    </w:p>
    <w:p w:rsidR="00C32325" w:rsidRPr="00DE2512" w:rsidRDefault="00C32325" w:rsidP="00C32325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 вопросу «О рекомендациях по размеру дивиденда по акциям АО «Калининградская генерирующая компания» за 2022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C32325" w:rsidRPr="00DE2512" w:rsidRDefault="00C32325" w:rsidP="00C32325">
      <w:pPr>
        <w:numPr>
          <w:ilvl w:val="1"/>
          <w:numId w:val="23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Рекомендовать годовому Общему собранию акционеров АО «Калининградская генерирующая компания» принять следующее решение:</w:t>
      </w:r>
    </w:p>
    <w:p w:rsidR="00C32325" w:rsidRPr="00DE2512" w:rsidRDefault="00C32325" w:rsidP="00C32325">
      <w:pPr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lastRenderedPageBreak/>
        <w:t xml:space="preserve">Выплатить дивиденды по обыкновенным акциям </w:t>
      </w:r>
      <w:r w:rsidRPr="00DE2512">
        <w:rPr>
          <w:bCs/>
          <w:sz w:val="28"/>
          <w:szCs w:val="28"/>
        </w:rPr>
        <w:t xml:space="preserve">АО «Калининградская генерирующая компания» </w:t>
      </w:r>
      <w:r w:rsidRPr="00DE2512">
        <w:rPr>
          <w:rFonts w:eastAsia="Arial Unicode MS"/>
          <w:sz w:val="28"/>
          <w:szCs w:val="28"/>
        </w:rPr>
        <w:t>по итогам 2022 года в размере 1,021742</w:t>
      </w:r>
      <w:r w:rsidRPr="00DE2512">
        <w:rPr>
          <w:sz w:val="28"/>
          <w:szCs w:val="28"/>
        </w:rPr>
        <w:t xml:space="preserve"> рублей</w:t>
      </w:r>
      <w:r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C32325" w:rsidRPr="00DE2512" w:rsidRDefault="00C32325" w:rsidP="00C32325">
      <w:pPr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C32325" w:rsidRPr="00DE2512" w:rsidRDefault="00C32325" w:rsidP="00C32325">
      <w:pPr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C32325" w:rsidRPr="00DE2512" w:rsidRDefault="00C32325" w:rsidP="001F517A">
      <w:pPr>
        <w:tabs>
          <w:tab w:val="left" w:pos="1418"/>
        </w:tabs>
        <w:contextualSpacing/>
        <w:jc w:val="both"/>
        <w:rPr>
          <w:rFonts w:eastAsia="Calibri"/>
          <w:sz w:val="28"/>
          <w:szCs w:val="28"/>
        </w:rPr>
      </w:pP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в Совете директоров АО «Янтарьэнергосбыт» п</w:t>
      </w:r>
      <w:r w:rsidRPr="00DE2512">
        <w:rPr>
          <w:bCs/>
          <w:iCs/>
          <w:sz w:val="28"/>
          <w:szCs w:val="28"/>
        </w:rPr>
        <w:t xml:space="preserve">о вопросу «О рекомендациях по распределению прибыли (убытков) АО «Янтарьэнергосбыт» по результатам 2022 года»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 </w:t>
      </w:r>
      <w:r w:rsidR="00C32325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C32325" w:rsidRPr="00DE2512">
        <w:rPr>
          <w:bCs/>
          <w:iCs/>
          <w:sz w:val="28"/>
          <w:szCs w:val="28"/>
        </w:rPr>
        <w:t xml:space="preserve">АО «Янтарьэнергосбыт» </w:t>
      </w:r>
      <w:r w:rsidR="00C32325" w:rsidRPr="00DE2512">
        <w:rPr>
          <w:sz w:val="28"/>
          <w:szCs w:val="28"/>
        </w:rPr>
        <w:t xml:space="preserve">утвердить следующее распределение прибыли (убытков) </w:t>
      </w:r>
      <w:r w:rsidR="00C32325" w:rsidRPr="00DE2512">
        <w:rPr>
          <w:bCs/>
          <w:iCs/>
          <w:sz w:val="28"/>
          <w:szCs w:val="28"/>
        </w:rPr>
        <w:t xml:space="preserve">АО «Янтарьэнергосбыт» </w:t>
      </w:r>
      <w:r w:rsidR="00C32325" w:rsidRPr="00DE2512">
        <w:rPr>
          <w:sz w:val="28"/>
          <w:szCs w:val="28"/>
        </w:rPr>
        <w:t>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C32325" w:rsidRPr="00DE2512" w:rsidTr="00C32325">
        <w:trPr>
          <w:tblHeader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390"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tabs>
                <w:tab w:val="left" w:pos="224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783 181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tabs>
                <w:tab w:val="left" w:pos="224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397 342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385 839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</w:tbl>
    <w:p w:rsidR="00C32325" w:rsidRPr="00DE2512" w:rsidRDefault="00C32325" w:rsidP="00C32325">
      <w:pPr>
        <w:contextualSpacing/>
        <w:jc w:val="both"/>
        <w:rPr>
          <w:sz w:val="26"/>
          <w:szCs w:val="26"/>
        </w:rPr>
      </w:pP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  <w:u w:val="single"/>
        </w:rPr>
      </w:pPr>
      <w:r w:rsidRPr="00DE2512">
        <w:rPr>
          <w:sz w:val="28"/>
          <w:szCs w:val="28"/>
        </w:rPr>
        <w:t>По вопросу «</w:t>
      </w:r>
      <w:r w:rsidRPr="00DE2512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«Янтарьэнергосбыт» за 2022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DE2512">
        <w:rPr>
          <w:bCs/>
          <w:iCs/>
          <w:sz w:val="28"/>
          <w:szCs w:val="28"/>
        </w:rPr>
        <w:t xml:space="preserve">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 </w:t>
      </w:r>
      <w:r w:rsidR="00C32325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C32325" w:rsidRPr="00DE2512">
        <w:rPr>
          <w:bCs/>
          <w:iCs/>
          <w:sz w:val="28"/>
          <w:szCs w:val="28"/>
        </w:rPr>
        <w:t>АО «Янтарьэнергосбыт»</w:t>
      </w:r>
      <w:r w:rsidR="00C32325" w:rsidRPr="00DE2512">
        <w:rPr>
          <w:sz w:val="28"/>
          <w:szCs w:val="28"/>
        </w:rPr>
        <w:t xml:space="preserve"> принять следующее решение:</w:t>
      </w:r>
    </w:p>
    <w:p w:rsidR="00C32325" w:rsidRPr="00DE2512" w:rsidRDefault="00C32325" w:rsidP="00C32325">
      <w:pPr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DE2512">
        <w:rPr>
          <w:bCs/>
          <w:iCs/>
          <w:sz w:val="28"/>
          <w:szCs w:val="28"/>
        </w:rPr>
        <w:t xml:space="preserve">АО «Янтарьэнергосбыт» </w:t>
      </w:r>
      <w:r w:rsidRPr="00DE2512">
        <w:rPr>
          <w:rFonts w:eastAsia="Arial Unicode MS"/>
          <w:sz w:val="28"/>
          <w:szCs w:val="28"/>
        </w:rPr>
        <w:t xml:space="preserve">по итогам 2022 года в размере </w:t>
      </w:r>
      <w:r w:rsidRPr="00DE2512">
        <w:rPr>
          <w:sz w:val="28"/>
          <w:szCs w:val="28"/>
        </w:rPr>
        <w:t>897,3 рублей</w:t>
      </w:r>
      <w:r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C32325" w:rsidRPr="00DE2512" w:rsidRDefault="00C32325" w:rsidP="00C32325">
      <w:pPr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C32325" w:rsidRPr="00DE2512" w:rsidRDefault="00C32325" w:rsidP="00C32325">
      <w:pPr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C32325" w:rsidRPr="00DE2512" w:rsidRDefault="00C32325" w:rsidP="00C32325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</w:rPr>
      </w:pP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в Совете директоров АО «Янтарьэнергосервис» п</w:t>
      </w:r>
      <w:r w:rsidRPr="00DE2512">
        <w:rPr>
          <w:bCs/>
          <w:iCs/>
          <w:sz w:val="28"/>
          <w:szCs w:val="28"/>
        </w:rPr>
        <w:t xml:space="preserve">о вопросу «О рекомендациях по распределению </w:t>
      </w:r>
      <w:r w:rsidRPr="00DE2512">
        <w:rPr>
          <w:bCs/>
          <w:iCs/>
          <w:sz w:val="28"/>
          <w:szCs w:val="28"/>
        </w:rPr>
        <w:lastRenderedPageBreak/>
        <w:t xml:space="preserve">прибыли (убытков) АО «Янтарьэнергосервис» по результатам 2022 года» </w:t>
      </w:r>
      <w:r w:rsidRPr="00DE2512">
        <w:rPr>
          <w:sz w:val="28"/>
          <w:szCs w:val="28"/>
        </w:rPr>
        <w:t>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 </w:t>
      </w:r>
      <w:r w:rsidR="00C32325"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="00C32325" w:rsidRPr="00DE2512">
        <w:rPr>
          <w:bCs/>
          <w:iCs/>
          <w:sz w:val="28"/>
          <w:szCs w:val="28"/>
        </w:rPr>
        <w:t>АО «Янтарьэнергосервис»</w:t>
      </w:r>
      <w:r w:rsidR="00C32325" w:rsidRPr="00DE2512">
        <w:rPr>
          <w:sz w:val="28"/>
          <w:szCs w:val="28"/>
        </w:rPr>
        <w:t xml:space="preserve"> утвердить следующее распределение прибыли (убытков) Общества 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220"/>
        </w:trPr>
        <w:tc>
          <w:tcPr>
            <w:tcW w:w="4254" w:type="pct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7 533</w:t>
            </w:r>
          </w:p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7 533</w:t>
            </w:r>
          </w:p>
        </w:tc>
      </w:tr>
    </w:tbl>
    <w:p w:rsidR="00C32325" w:rsidRPr="00DE2512" w:rsidRDefault="00C32325" w:rsidP="00C32325">
      <w:pPr>
        <w:widowControl w:val="0"/>
        <w:tabs>
          <w:tab w:val="left" w:pos="900"/>
        </w:tabs>
        <w:contextualSpacing/>
        <w:jc w:val="both"/>
        <w:rPr>
          <w:sz w:val="26"/>
          <w:szCs w:val="26"/>
        </w:rPr>
      </w:pPr>
    </w:p>
    <w:p w:rsidR="00C32325" w:rsidRPr="00DE2512" w:rsidRDefault="00C32325" w:rsidP="00C32325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По вопросу «</w:t>
      </w:r>
      <w:r w:rsidRPr="00DE2512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«Янтарьэнергосервис» за 2022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DE2512">
        <w:rPr>
          <w:sz w:val="28"/>
          <w:szCs w:val="28"/>
        </w:rPr>
        <w:t xml:space="preserve"> голосовать «ЗА» принятие следующего решения:</w:t>
      </w:r>
    </w:p>
    <w:p w:rsidR="00C32325" w:rsidRPr="00DE2512" w:rsidRDefault="00C32325" w:rsidP="00C32325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Рекомендовать годовому Общему собранию акционеров </w:t>
      </w:r>
      <w:r w:rsidRPr="00DE2512">
        <w:rPr>
          <w:bCs/>
          <w:iCs/>
          <w:sz w:val="28"/>
          <w:szCs w:val="28"/>
        </w:rPr>
        <w:t>АО «Янтарьэнергосервис»</w:t>
      </w:r>
      <w:r w:rsidRPr="00DE2512">
        <w:rPr>
          <w:sz w:val="28"/>
          <w:szCs w:val="28"/>
        </w:rPr>
        <w:t xml:space="preserve"> принять следующее решение:</w:t>
      </w:r>
    </w:p>
    <w:p w:rsidR="00C32325" w:rsidRPr="00DE2512" w:rsidRDefault="00C32325" w:rsidP="00C32325">
      <w:pPr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>Не выплачивать дивиденды по обыкновенным акциям АО «Янтарьэнергосервис» по итогам 2022 года в связи с наличием ограничений на выплату дивидендов, предусмотренных действующим законодательством Российской Федерации.</w:t>
      </w:r>
    </w:p>
    <w:p w:rsidR="00C32325" w:rsidRPr="00DE2512" w:rsidRDefault="00C32325" w:rsidP="00C32325">
      <w:pPr>
        <w:contextualSpacing/>
        <w:jc w:val="both"/>
        <w:rPr>
          <w:bCs/>
          <w:sz w:val="28"/>
          <w:szCs w:val="28"/>
        </w:rPr>
      </w:pP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на Общем собрании акционеров АО «Калининградская генерирующая компания» п</w:t>
      </w:r>
      <w:r w:rsidRPr="00DE2512">
        <w:rPr>
          <w:sz w:val="28"/>
          <w:szCs w:val="28"/>
        </w:rPr>
        <w:t>о вопросу: «О</w:t>
      </w:r>
      <w:r w:rsidR="00FA54E6" w:rsidRPr="00DE2512">
        <w:rPr>
          <w:sz w:val="28"/>
          <w:szCs w:val="28"/>
          <w:lang w:val="en-US"/>
        </w:rPr>
        <w:t> </w:t>
      </w:r>
      <w:r w:rsidRPr="00DE2512">
        <w:rPr>
          <w:sz w:val="28"/>
          <w:szCs w:val="28"/>
        </w:rPr>
        <w:t xml:space="preserve">распределении прибыли (в том числе о выплате (объявлении) дивидендов) и убытков </w:t>
      </w:r>
      <w:r w:rsidRPr="00DE2512">
        <w:rPr>
          <w:bCs/>
          <w:sz w:val="28"/>
          <w:szCs w:val="28"/>
        </w:rPr>
        <w:t>АО «Калининградская генерирующая компания»</w:t>
      </w:r>
      <w:r w:rsidRPr="00DE2512">
        <w:rPr>
          <w:sz w:val="28"/>
          <w:szCs w:val="28"/>
        </w:rPr>
        <w:t xml:space="preserve"> по результатам 2022 года» 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t xml:space="preserve"> </w:t>
      </w:r>
      <w:r w:rsidR="00C32325" w:rsidRPr="00DE2512">
        <w:rPr>
          <w:sz w:val="28"/>
          <w:szCs w:val="28"/>
        </w:rPr>
        <w:t xml:space="preserve">Утвердить следующее распределение прибыли (убытков) </w:t>
      </w:r>
      <w:r w:rsidR="00C32325" w:rsidRPr="00DE2512">
        <w:rPr>
          <w:bCs/>
          <w:sz w:val="28"/>
          <w:szCs w:val="28"/>
        </w:rPr>
        <w:t>АО «Калининградская генерирующая компания»</w:t>
      </w:r>
      <w:r w:rsidR="00C32325" w:rsidRPr="00DE2512">
        <w:rPr>
          <w:sz w:val="28"/>
          <w:szCs w:val="28"/>
        </w:rPr>
        <w:t xml:space="preserve"> за 2022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8"/>
        <w:gridCol w:w="1378"/>
      </w:tblGrid>
      <w:tr w:rsidR="00C32325" w:rsidRPr="00DE2512" w:rsidTr="00C32325">
        <w:trPr>
          <w:trHeight w:val="302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548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27 808</w:t>
            </w:r>
          </w:p>
        </w:tc>
      </w:tr>
      <w:tr w:rsidR="00C32325" w:rsidRPr="00DE2512" w:rsidTr="00C32325">
        <w:trPr>
          <w:trHeight w:val="118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Резервный фонд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188</w:t>
            </w:r>
          </w:p>
        </w:tc>
      </w:tr>
      <w:tr w:rsidR="00C32325" w:rsidRPr="00DE2512" w:rsidTr="00C32325">
        <w:trPr>
          <w:trHeight w:val="351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Прибыль на развитие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13 716</w:t>
            </w:r>
          </w:p>
        </w:tc>
      </w:tr>
      <w:tr w:rsidR="00C32325" w:rsidRPr="00DE2512" w:rsidTr="00C32325">
        <w:trPr>
          <w:trHeight w:val="302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 </w:t>
            </w:r>
            <w:r w:rsidRPr="00DE2512">
              <w:rPr>
                <w:sz w:val="24"/>
                <w:szCs w:val="24"/>
              </w:rPr>
              <w:t>Дивиденды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13 904</w:t>
            </w:r>
          </w:p>
        </w:tc>
      </w:tr>
      <w:tr w:rsidR="00C32325" w:rsidRPr="00DE2512" w:rsidTr="00C32325">
        <w:trPr>
          <w:trHeight w:val="281"/>
        </w:trPr>
        <w:tc>
          <w:tcPr>
            <w:tcW w:w="4263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567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  <w:lang w:val="en-US"/>
              </w:rPr>
              <w:t xml:space="preserve">                      </w:t>
            </w:r>
            <w:r w:rsidRPr="00DE2512">
              <w:rPr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737" w:type="pct"/>
            <w:shd w:val="clear" w:color="auto" w:fill="FFFFFF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</w:tbl>
    <w:p w:rsidR="00C32325" w:rsidRPr="00DE2512" w:rsidRDefault="00C32325" w:rsidP="00C32325">
      <w:pPr>
        <w:tabs>
          <w:tab w:val="left" w:pos="1134"/>
        </w:tabs>
        <w:ind w:right="-1"/>
        <w:contextualSpacing/>
        <w:jc w:val="both"/>
        <w:rPr>
          <w:rFonts w:eastAsia="Arial Unicode MS"/>
          <w:sz w:val="26"/>
          <w:szCs w:val="26"/>
        </w:rPr>
      </w:pP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C32325"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="00C32325" w:rsidRPr="00DE2512">
        <w:rPr>
          <w:bCs/>
          <w:sz w:val="28"/>
          <w:szCs w:val="28"/>
        </w:rPr>
        <w:t xml:space="preserve">АО «Калининградская генерирующая компания» </w:t>
      </w:r>
      <w:r w:rsidR="00C32325" w:rsidRPr="00DE2512">
        <w:rPr>
          <w:rFonts w:eastAsia="Arial Unicode MS"/>
          <w:sz w:val="28"/>
          <w:szCs w:val="28"/>
        </w:rPr>
        <w:t>по итогам 2022 года в размере 1,021742</w:t>
      </w:r>
      <w:r w:rsidR="00C32325" w:rsidRPr="00DE2512">
        <w:rPr>
          <w:sz w:val="28"/>
          <w:szCs w:val="28"/>
        </w:rPr>
        <w:t xml:space="preserve"> рублей</w:t>
      </w:r>
      <w:r w:rsidR="00C32325"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1F517A" w:rsidRPr="00DE2512" w:rsidRDefault="001F517A" w:rsidP="001F517A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C32325" w:rsidRPr="00DE2512">
        <w:rPr>
          <w:rFonts w:eastAsia="Arial Unicode MS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</w:t>
      </w:r>
      <w:r w:rsidR="00C32325" w:rsidRPr="00DE2512">
        <w:rPr>
          <w:rFonts w:eastAsia="Arial Unicode MS"/>
          <w:sz w:val="28"/>
          <w:szCs w:val="28"/>
        </w:rPr>
        <w:lastRenderedPageBreak/>
        <w:t>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1F517A" w:rsidRPr="00DE2512" w:rsidRDefault="001F517A" w:rsidP="001F517A">
      <w:pPr>
        <w:numPr>
          <w:ilvl w:val="1"/>
          <w:numId w:val="23"/>
        </w:numPr>
        <w:tabs>
          <w:tab w:val="left" w:pos="1134"/>
        </w:tabs>
        <w:ind w:left="0" w:right="-1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C32325" w:rsidRPr="00DE2512" w:rsidRDefault="00C32325" w:rsidP="001F517A">
      <w:pPr>
        <w:tabs>
          <w:tab w:val="left" w:pos="1134"/>
        </w:tabs>
        <w:ind w:right="-1"/>
        <w:contextualSpacing/>
        <w:jc w:val="both"/>
        <w:rPr>
          <w:rFonts w:eastAsia="Arial Unicode MS"/>
          <w:sz w:val="28"/>
          <w:szCs w:val="28"/>
        </w:rPr>
      </w:pP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E2512">
        <w:rPr>
          <w:bCs/>
          <w:sz w:val="28"/>
          <w:szCs w:val="28"/>
        </w:rPr>
        <w:t xml:space="preserve">Поручить представителям Общества на Общем собрании акционеров АО «Янтарьэнергосбыт» по вопросу </w:t>
      </w:r>
      <w:r w:rsidRPr="00DE2512">
        <w:rPr>
          <w:sz w:val="28"/>
          <w:szCs w:val="28"/>
        </w:rPr>
        <w:t xml:space="preserve">«О распределении прибыли (в том числе о выплате (объявлении) дивидендов) и убытков </w:t>
      </w:r>
      <w:r w:rsidRPr="00DE2512">
        <w:rPr>
          <w:bCs/>
          <w:iCs/>
          <w:sz w:val="28"/>
          <w:szCs w:val="28"/>
        </w:rPr>
        <w:t>АО «Янтарьэнергосбыт»</w:t>
      </w:r>
      <w:r w:rsidRPr="00DE2512">
        <w:rPr>
          <w:sz w:val="28"/>
          <w:szCs w:val="28"/>
        </w:rPr>
        <w:t xml:space="preserve"> по результатам 2022 года» 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 xml:space="preserve"> </w:t>
      </w:r>
      <w:r w:rsidR="00C32325" w:rsidRPr="00DE2512">
        <w:rPr>
          <w:bCs/>
          <w:sz w:val="28"/>
          <w:szCs w:val="28"/>
        </w:rPr>
        <w:t xml:space="preserve">Утвердить следующее распределение прибыли (убытков) </w:t>
      </w:r>
      <w:r w:rsidR="00C32325" w:rsidRPr="00DE2512">
        <w:rPr>
          <w:bCs/>
          <w:iCs/>
          <w:sz w:val="28"/>
          <w:szCs w:val="28"/>
        </w:rPr>
        <w:t>АО «Янтарьэнергосбыт»</w:t>
      </w:r>
      <w:r w:rsidR="00C32325" w:rsidRPr="00DE2512">
        <w:rPr>
          <w:bCs/>
          <w:sz w:val="28"/>
          <w:szCs w:val="28"/>
        </w:rPr>
        <w:t xml:space="preserve"> за 2022 отчетный год: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226"/>
        </w:trPr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783 181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397 342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385 839</w:t>
            </w:r>
          </w:p>
        </w:tc>
      </w:tr>
      <w:tr w:rsidR="00C32325" w:rsidRPr="00DE2512" w:rsidTr="00C32325"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0</w:t>
            </w:r>
          </w:p>
        </w:tc>
      </w:tr>
    </w:tbl>
    <w:p w:rsidR="00C32325" w:rsidRPr="00DE2512" w:rsidRDefault="00C32325" w:rsidP="00C32325">
      <w:pPr>
        <w:contextualSpacing/>
        <w:jc w:val="both"/>
        <w:rPr>
          <w:bCs/>
          <w:sz w:val="26"/>
          <w:szCs w:val="26"/>
        </w:rPr>
      </w:pP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C32325" w:rsidRPr="00DE2512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="00C32325" w:rsidRPr="00DE2512">
        <w:rPr>
          <w:bCs/>
          <w:iCs/>
          <w:sz w:val="28"/>
          <w:szCs w:val="28"/>
        </w:rPr>
        <w:t>АО «Янтарьэнергосбыт»</w:t>
      </w:r>
      <w:r w:rsidR="00C32325" w:rsidRPr="00DE2512">
        <w:rPr>
          <w:rFonts w:eastAsia="Arial Unicode MS"/>
          <w:sz w:val="28"/>
          <w:szCs w:val="28"/>
        </w:rPr>
        <w:t xml:space="preserve"> по итогам 2022 года в размере </w:t>
      </w:r>
      <w:r w:rsidR="00C32325" w:rsidRPr="00DE2512">
        <w:rPr>
          <w:sz w:val="28"/>
          <w:szCs w:val="28"/>
        </w:rPr>
        <w:t>897,3 рублей</w:t>
      </w:r>
      <w:r w:rsidR="00C32325" w:rsidRPr="00DE2512">
        <w:rPr>
          <w:rFonts w:eastAsia="Arial Unicode MS"/>
          <w:sz w:val="28"/>
          <w:szCs w:val="28"/>
        </w:rPr>
        <w:t xml:space="preserve"> на одну обыкновенную акцию в денежной форме.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Arial Unicode MS"/>
          <w:sz w:val="28"/>
          <w:szCs w:val="28"/>
        </w:rPr>
        <w:t xml:space="preserve"> </w:t>
      </w:r>
      <w:r w:rsidR="00C32325" w:rsidRPr="00DE2512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DE2512">
        <w:rPr>
          <w:rFonts w:eastAsia="Calibri"/>
          <w:sz w:val="28"/>
          <w:szCs w:val="28"/>
        </w:rPr>
        <w:t xml:space="preserve"> </w:t>
      </w:r>
      <w:r w:rsidR="00C32325" w:rsidRPr="00DE2512">
        <w:rPr>
          <w:rFonts w:eastAsia="Calibri"/>
          <w:sz w:val="28"/>
          <w:szCs w:val="28"/>
        </w:rPr>
        <w:t>Определить дату составления списка лиц, имеющих право на получение дивидендов – 11 июля 2023 года.</w:t>
      </w:r>
    </w:p>
    <w:p w:rsidR="00C32325" w:rsidRPr="00DE2512" w:rsidRDefault="00C32325" w:rsidP="001F517A">
      <w:pPr>
        <w:tabs>
          <w:tab w:val="left" w:pos="1134"/>
        </w:tabs>
        <w:contextualSpacing/>
        <w:jc w:val="both"/>
        <w:rPr>
          <w:rFonts w:eastAsia="Arial Unicode MS"/>
          <w:sz w:val="28"/>
          <w:szCs w:val="28"/>
        </w:rPr>
      </w:pPr>
    </w:p>
    <w:p w:rsidR="00C32325" w:rsidRPr="00DE2512" w:rsidRDefault="00C32325" w:rsidP="00C323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>Поручить представителям Общества на Общем собрании акционеров АО «Янтарьэнергосервис» п</w:t>
      </w:r>
      <w:r w:rsidRPr="00DE2512">
        <w:rPr>
          <w:sz w:val="28"/>
          <w:szCs w:val="28"/>
        </w:rPr>
        <w:t xml:space="preserve">о вопросу: «О распределении прибыли (в том числе о выплате (объявлении) дивидендов) и убытков </w:t>
      </w:r>
      <w:r w:rsidRPr="00DE2512">
        <w:rPr>
          <w:bCs/>
          <w:iCs/>
          <w:sz w:val="28"/>
          <w:szCs w:val="28"/>
        </w:rPr>
        <w:t>АО «Янтарьэнергосервис»</w:t>
      </w:r>
      <w:r w:rsidRPr="00DE2512">
        <w:rPr>
          <w:sz w:val="28"/>
          <w:szCs w:val="28"/>
        </w:rPr>
        <w:t xml:space="preserve"> по результатам 2022 года» голосовать «ЗА» принятие следующего решения:</w:t>
      </w:r>
    </w:p>
    <w:p w:rsidR="00C32325" w:rsidRPr="00DE2512" w:rsidRDefault="001F517A" w:rsidP="00C32325">
      <w:pPr>
        <w:numPr>
          <w:ilvl w:val="1"/>
          <w:numId w:val="23"/>
        </w:numPr>
        <w:tabs>
          <w:tab w:val="left" w:pos="1134"/>
        </w:tabs>
        <w:ind w:left="0" w:firstLine="708"/>
        <w:contextualSpacing/>
        <w:jc w:val="both"/>
        <w:rPr>
          <w:bCs/>
          <w:sz w:val="28"/>
          <w:szCs w:val="28"/>
        </w:rPr>
      </w:pPr>
      <w:r w:rsidRPr="00DE2512">
        <w:rPr>
          <w:bCs/>
          <w:sz w:val="28"/>
          <w:szCs w:val="28"/>
        </w:rPr>
        <w:t xml:space="preserve"> </w:t>
      </w:r>
      <w:r w:rsidR="00C32325" w:rsidRPr="00DE2512">
        <w:rPr>
          <w:bCs/>
          <w:sz w:val="28"/>
          <w:szCs w:val="28"/>
        </w:rPr>
        <w:t xml:space="preserve">Утвердить следующее распределение прибыли (убытков) </w:t>
      </w:r>
      <w:r w:rsidR="00C32325" w:rsidRPr="00DE2512">
        <w:rPr>
          <w:bCs/>
          <w:iCs/>
          <w:sz w:val="28"/>
          <w:szCs w:val="28"/>
        </w:rPr>
        <w:t>АО «Янтарьэнергосервис»</w:t>
      </w:r>
      <w:r w:rsidR="00C32325" w:rsidRPr="00DE2512">
        <w:rPr>
          <w:bCs/>
          <w:sz w:val="28"/>
          <w:szCs w:val="28"/>
        </w:rPr>
        <w:t xml:space="preserve"> за 2022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2"/>
        <w:gridCol w:w="1394"/>
      </w:tblGrid>
      <w:tr w:rsidR="00C32325" w:rsidRPr="00DE2512" w:rsidTr="00C32325">
        <w:trPr>
          <w:tblHeader/>
        </w:trPr>
        <w:tc>
          <w:tcPr>
            <w:tcW w:w="4254" w:type="pct"/>
          </w:tcPr>
          <w:p w:rsidR="00C32325" w:rsidRPr="00DE2512" w:rsidRDefault="00C32325" w:rsidP="00C32325">
            <w:pPr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</w:tcPr>
          <w:p w:rsidR="00C32325" w:rsidRPr="00DE2512" w:rsidRDefault="00C32325" w:rsidP="00C32325">
            <w:pPr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(тыс. руб.)</w:t>
            </w:r>
          </w:p>
        </w:tc>
      </w:tr>
      <w:tr w:rsidR="00C32325" w:rsidRPr="00DE2512" w:rsidTr="00C32325">
        <w:trPr>
          <w:trHeight w:val="413"/>
        </w:trPr>
        <w:tc>
          <w:tcPr>
            <w:tcW w:w="4254" w:type="pct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</w:p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Распределить на: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>7 533</w:t>
            </w:r>
          </w:p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Резервный фонд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2247"/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Прибыль на развитие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Дивиденды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32325" w:rsidRPr="00DE2512" w:rsidTr="00C32325">
        <w:tc>
          <w:tcPr>
            <w:tcW w:w="4254" w:type="pct"/>
          </w:tcPr>
          <w:p w:rsidR="00C32325" w:rsidRPr="00DE2512" w:rsidRDefault="00C32325" w:rsidP="00C32325">
            <w:pPr>
              <w:tabs>
                <w:tab w:val="left" w:pos="3837"/>
              </w:tabs>
              <w:contextualSpacing/>
              <w:rPr>
                <w:sz w:val="24"/>
                <w:szCs w:val="24"/>
              </w:rPr>
            </w:pPr>
            <w:r w:rsidRPr="00DE2512">
              <w:rPr>
                <w:sz w:val="24"/>
                <w:szCs w:val="24"/>
              </w:rPr>
              <w:t xml:space="preserve">                               Погашение убытков прошлых лет</w:t>
            </w:r>
          </w:p>
        </w:tc>
        <w:tc>
          <w:tcPr>
            <w:tcW w:w="746" w:type="pct"/>
            <w:vAlign w:val="center"/>
          </w:tcPr>
          <w:p w:rsidR="00C32325" w:rsidRPr="00DE2512" w:rsidRDefault="00C32325" w:rsidP="00C323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512">
              <w:rPr>
                <w:rFonts w:eastAsia="Calibri"/>
                <w:sz w:val="24"/>
                <w:szCs w:val="24"/>
                <w:lang w:eastAsia="en-US"/>
              </w:rPr>
              <w:t>7 533</w:t>
            </w:r>
          </w:p>
        </w:tc>
      </w:tr>
    </w:tbl>
    <w:p w:rsidR="00C32325" w:rsidRPr="00DE2512" w:rsidRDefault="00C32325" w:rsidP="00C32325">
      <w:pPr>
        <w:tabs>
          <w:tab w:val="left" w:pos="900"/>
        </w:tabs>
        <w:contextualSpacing/>
        <w:jc w:val="both"/>
        <w:rPr>
          <w:sz w:val="26"/>
          <w:szCs w:val="26"/>
        </w:rPr>
      </w:pPr>
    </w:p>
    <w:p w:rsidR="00C32325" w:rsidRPr="00DE2512" w:rsidRDefault="006D2725" w:rsidP="000A7204">
      <w:pPr>
        <w:keepNext/>
        <w:keepLines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512">
        <w:rPr>
          <w:sz w:val="28"/>
          <w:szCs w:val="28"/>
        </w:rPr>
        <w:lastRenderedPageBreak/>
        <w:t>6.2.</w:t>
      </w:r>
      <w:r w:rsidR="001F517A" w:rsidRPr="00DE2512">
        <w:rPr>
          <w:sz w:val="28"/>
          <w:szCs w:val="28"/>
        </w:rPr>
        <w:t xml:space="preserve"> </w:t>
      </w:r>
      <w:r w:rsidR="00C32325" w:rsidRPr="00DE2512">
        <w:rPr>
          <w:sz w:val="28"/>
          <w:szCs w:val="28"/>
        </w:rPr>
        <w:t>Не выплачивать дивиденды по обыкновенным акциям АО «Янтарьэнергосервис» по итогам 2022 года в связи с наличием ограничений на выплату дивидендов, предусмотренных действующим законодательством Российской Федерации.</w:t>
      </w:r>
    </w:p>
    <w:p w:rsidR="00C32325" w:rsidRPr="00DE2512" w:rsidRDefault="00C32325" w:rsidP="000C21CF">
      <w:pPr>
        <w:contextualSpacing/>
        <w:jc w:val="both"/>
        <w:rPr>
          <w:sz w:val="28"/>
          <w:szCs w:val="28"/>
        </w:rPr>
      </w:pPr>
    </w:p>
    <w:p w:rsidR="00FE76E2" w:rsidRPr="00DE2512" w:rsidRDefault="001626CD" w:rsidP="00F82E59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DE2512">
        <w:rPr>
          <w:i/>
          <w:sz w:val="28"/>
          <w:szCs w:val="28"/>
        </w:rPr>
        <w:t xml:space="preserve">Дата составления протокола </w:t>
      </w:r>
      <w:r w:rsidR="00C32325" w:rsidRPr="00DE2512">
        <w:rPr>
          <w:i/>
          <w:sz w:val="28"/>
          <w:szCs w:val="28"/>
        </w:rPr>
        <w:t>05</w:t>
      </w:r>
      <w:r w:rsidR="00FE76E2" w:rsidRPr="00DE2512">
        <w:rPr>
          <w:i/>
          <w:sz w:val="28"/>
          <w:szCs w:val="28"/>
        </w:rPr>
        <w:t>.</w:t>
      </w:r>
      <w:r w:rsidR="00735DBA" w:rsidRPr="00DE2512">
        <w:rPr>
          <w:i/>
          <w:sz w:val="28"/>
          <w:szCs w:val="28"/>
        </w:rPr>
        <w:t>0</w:t>
      </w:r>
      <w:r w:rsidR="00C32325" w:rsidRPr="00DE2512">
        <w:rPr>
          <w:i/>
          <w:sz w:val="28"/>
          <w:szCs w:val="28"/>
        </w:rPr>
        <w:t>6</w:t>
      </w:r>
      <w:r w:rsidR="00FE76E2" w:rsidRPr="00DE2512">
        <w:rPr>
          <w:i/>
          <w:sz w:val="28"/>
          <w:szCs w:val="28"/>
        </w:rPr>
        <w:t>.202</w:t>
      </w:r>
      <w:r w:rsidR="00735DBA" w:rsidRPr="00DE2512">
        <w:rPr>
          <w:i/>
          <w:sz w:val="28"/>
          <w:szCs w:val="28"/>
        </w:rPr>
        <w:t>3</w:t>
      </w:r>
      <w:r w:rsidR="00FE76E2" w:rsidRPr="00DE2512">
        <w:rPr>
          <w:i/>
          <w:sz w:val="28"/>
          <w:szCs w:val="28"/>
        </w:rPr>
        <w:t>.</w:t>
      </w:r>
    </w:p>
    <w:p w:rsidR="00BD2A2B" w:rsidRPr="00DE2512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DE2512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DE2512" w:rsidRDefault="00696D37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DE2512">
        <w:rPr>
          <w:rFonts w:eastAsiaTheme="minorHAnsi"/>
          <w:sz w:val="28"/>
          <w:szCs w:val="28"/>
          <w:lang w:eastAsia="en-US"/>
        </w:rPr>
        <w:t xml:space="preserve"> </w:t>
      </w:r>
      <w:r w:rsidRPr="00DE2512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DE2512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DE2512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DE2512">
        <w:rPr>
          <w:rFonts w:eastAsiaTheme="minorHAnsi"/>
          <w:sz w:val="28"/>
          <w:szCs w:val="28"/>
          <w:lang w:eastAsia="en-US"/>
        </w:rPr>
        <w:t xml:space="preserve">     </w:t>
      </w:r>
      <w:r w:rsidRPr="00DE2512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DE2512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A7204" w:rsidRPr="00DE2512" w:rsidRDefault="000A7204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4" w:name="_GoBack"/>
      <w:bookmarkEnd w:id="24"/>
    </w:p>
    <w:p w:rsidR="00F5766E" w:rsidRPr="00324BB5" w:rsidRDefault="00FE76E2" w:rsidP="00F82E5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2512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DE2512">
        <w:rPr>
          <w:rFonts w:eastAsiaTheme="minorHAnsi"/>
          <w:sz w:val="28"/>
          <w:szCs w:val="28"/>
          <w:lang w:eastAsia="en-US"/>
        </w:rPr>
        <w:t xml:space="preserve"> </w:t>
      </w:r>
      <w:r w:rsidRPr="00DE2512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DE2512">
        <w:rPr>
          <w:rFonts w:eastAsiaTheme="minorHAnsi"/>
          <w:sz w:val="28"/>
          <w:szCs w:val="28"/>
          <w:lang w:eastAsia="en-US"/>
        </w:rPr>
        <w:t xml:space="preserve"> </w:t>
      </w:r>
      <w:r w:rsidRPr="00DE251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DE2512">
        <w:rPr>
          <w:rFonts w:eastAsiaTheme="minorHAnsi"/>
          <w:sz w:val="28"/>
          <w:szCs w:val="28"/>
          <w:lang w:eastAsia="en-US"/>
        </w:rPr>
        <w:t xml:space="preserve">   </w:t>
      </w:r>
      <w:r w:rsidRPr="00DE2512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DE2512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DE2512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DE2512">
        <w:rPr>
          <w:rFonts w:eastAsiaTheme="minorHAnsi"/>
          <w:sz w:val="28"/>
          <w:szCs w:val="28"/>
          <w:lang w:eastAsia="en-US"/>
        </w:rPr>
        <w:t xml:space="preserve"> </w:t>
      </w:r>
      <w:r w:rsidRPr="00DE2512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FA54E6">
      <w:footerReference w:type="default" r:id="rId9"/>
      <w:pgSz w:w="11907" w:h="16840"/>
      <w:pgMar w:top="851" w:right="850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A8" w:rsidRDefault="003D1BA8" w:rsidP="004C638C">
      <w:r>
        <w:separator/>
      </w:r>
    </w:p>
  </w:endnote>
  <w:endnote w:type="continuationSeparator" w:id="0">
    <w:p w:rsidR="003D1BA8" w:rsidRDefault="003D1BA8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Content>
      <w:p w:rsidR="00276FA5" w:rsidRPr="00E66F62" w:rsidRDefault="00276FA5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0A7204">
          <w:rPr>
            <w:rFonts w:ascii="Times New Roman" w:hAnsi="Times New Roman" w:cs="Times New Roman"/>
            <w:noProof/>
          </w:rPr>
          <w:t>17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A8" w:rsidRDefault="003D1BA8" w:rsidP="004C638C">
      <w:r>
        <w:separator/>
      </w:r>
    </w:p>
  </w:footnote>
  <w:footnote w:type="continuationSeparator" w:id="0">
    <w:p w:rsidR="003D1BA8" w:rsidRDefault="003D1BA8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2179"/>
    <w:multiLevelType w:val="hybridMultilevel"/>
    <w:tmpl w:val="73587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3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066" w:hanging="360"/>
      </w:pPr>
    </w:lvl>
    <w:lvl w:ilvl="2" w:tplc="0419001B">
      <w:start w:val="1"/>
      <w:numFmt w:val="lowerRoman"/>
      <w:lvlText w:val="%3."/>
      <w:lvlJc w:val="right"/>
      <w:pPr>
        <w:ind w:left="3786" w:hanging="180"/>
      </w:pPr>
    </w:lvl>
    <w:lvl w:ilvl="3" w:tplc="0419000F">
      <w:start w:val="1"/>
      <w:numFmt w:val="decimal"/>
      <w:lvlText w:val="%4."/>
      <w:lvlJc w:val="left"/>
      <w:pPr>
        <w:ind w:left="4506" w:hanging="360"/>
      </w:pPr>
    </w:lvl>
    <w:lvl w:ilvl="4" w:tplc="04190019">
      <w:start w:val="1"/>
      <w:numFmt w:val="lowerLetter"/>
      <w:lvlText w:val="%5."/>
      <w:lvlJc w:val="left"/>
      <w:pPr>
        <w:ind w:left="5226" w:hanging="360"/>
      </w:pPr>
    </w:lvl>
    <w:lvl w:ilvl="5" w:tplc="0419001B">
      <w:start w:val="1"/>
      <w:numFmt w:val="lowerRoman"/>
      <w:lvlText w:val="%6."/>
      <w:lvlJc w:val="right"/>
      <w:pPr>
        <w:ind w:left="5946" w:hanging="180"/>
      </w:pPr>
    </w:lvl>
    <w:lvl w:ilvl="6" w:tplc="0419000F">
      <w:start w:val="1"/>
      <w:numFmt w:val="decimal"/>
      <w:lvlText w:val="%7."/>
      <w:lvlJc w:val="left"/>
      <w:pPr>
        <w:ind w:left="6666" w:hanging="360"/>
      </w:pPr>
    </w:lvl>
    <w:lvl w:ilvl="7" w:tplc="04190019">
      <w:start w:val="1"/>
      <w:numFmt w:val="lowerLetter"/>
      <w:lvlText w:val="%8."/>
      <w:lvlJc w:val="left"/>
      <w:pPr>
        <w:ind w:left="7386" w:hanging="360"/>
      </w:pPr>
    </w:lvl>
    <w:lvl w:ilvl="8" w:tplc="0419001B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071C61"/>
    <w:multiLevelType w:val="multilevel"/>
    <w:tmpl w:val="FFF4B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67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EA712FE"/>
    <w:multiLevelType w:val="multilevel"/>
    <w:tmpl w:val="FFF4B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67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6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E037C8"/>
    <w:multiLevelType w:val="hybridMultilevel"/>
    <w:tmpl w:val="73587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7"/>
  </w:num>
  <w:num w:numId="5">
    <w:abstractNumId w:val="8"/>
  </w:num>
  <w:num w:numId="6">
    <w:abstractNumId w:val="9"/>
  </w:num>
  <w:num w:numId="7">
    <w:abstractNumId w:val="21"/>
  </w:num>
  <w:num w:numId="8">
    <w:abstractNumId w:val="10"/>
  </w:num>
  <w:num w:numId="9">
    <w:abstractNumId w:val="1"/>
  </w:num>
  <w:num w:numId="10">
    <w:abstractNumId w:val="5"/>
  </w:num>
  <w:num w:numId="11">
    <w:abstractNumId w:val="18"/>
  </w:num>
  <w:num w:numId="12">
    <w:abstractNumId w:val="16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3"/>
  </w:num>
  <w:num w:numId="16">
    <w:abstractNumId w:val="6"/>
  </w:num>
  <w:num w:numId="17">
    <w:abstractNumId w:val="11"/>
  </w:num>
  <w:num w:numId="18">
    <w:abstractNumId w:val="15"/>
  </w:num>
  <w:num w:numId="19">
    <w:abstractNumId w:val="4"/>
  </w:num>
  <w:num w:numId="20">
    <w:abstractNumId w:val="17"/>
  </w:num>
  <w:num w:numId="21">
    <w:abstractNumId w:val="0"/>
  </w:num>
  <w:num w:numId="22">
    <w:abstractNumId w:val="14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A7204"/>
    <w:rsid w:val="000B06DC"/>
    <w:rsid w:val="000B0A17"/>
    <w:rsid w:val="000B4802"/>
    <w:rsid w:val="000B4D9F"/>
    <w:rsid w:val="000B56C5"/>
    <w:rsid w:val="000B62AF"/>
    <w:rsid w:val="000B6B51"/>
    <w:rsid w:val="000C21CF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56C23"/>
    <w:rsid w:val="0016079D"/>
    <w:rsid w:val="001626CD"/>
    <w:rsid w:val="0016289B"/>
    <w:rsid w:val="001638D7"/>
    <w:rsid w:val="00163FCD"/>
    <w:rsid w:val="001646DC"/>
    <w:rsid w:val="00165322"/>
    <w:rsid w:val="00171D08"/>
    <w:rsid w:val="00172BCE"/>
    <w:rsid w:val="00172ECC"/>
    <w:rsid w:val="00173C86"/>
    <w:rsid w:val="00173CB1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17A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A72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4EAC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76FA5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C4C12"/>
    <w:rsid w:val="003D18B3"/>
    <w:rsid w:val="003D1BA8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4CD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3E18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0F5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2725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2170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867"/>
    <w:rsid w:val="00801E05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25A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35E5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A1D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2325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713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12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E69C2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4E6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29AA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1D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780D-5748-4A97-81B5-FFF8B436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4</cp:revision>
  <cp:lastPrinted>2022-08-16T14:46:00Z</cp:lastPrinted>
  <dcterms:created xsi:type="dcterms:W3CDTF">2023-06-09T13:20:00Z</dcterms:created>
  <dcterms:modified xsi:type="dcterms:W3CDTF">2023-06-09T13:29:00Z</dcterms:modified>
</cp:coreProperties>
</file>