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A29" w:rsidRPr="00E01434" w:rsidRDefault="00A16A29" w:rsidP="00693AE4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E01434">
        <w:rPr>
          <w:noProof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1434">
        <w:rPr>
          <w:rFonts w:ascii="PF Din Text Cond Pro Light" w:hAnsi="PF Din Text Cond Pro Light" w:cs="PF Din Text Cond Pro Light"/>
          <w:color w:val="000000"/>
          <w:sz w:val="24"/>
          <w:szCs w:val="24"/>
        </w:rPr>
        <w:t>Акционерное общество</w:t>
      </w:r>
    </w:p>
    <w:p w:rsidR="00A16A29" w:rsidRPr="00E01434" w:rsidRDefault="00A16A29" w:rsidP="00693AE4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E01434">
        <w:rPr>
          <w:rFonts w:ascii="PF Din Text Cond Pro Light" w:hAnsi="PF Din Text Cond Pro Light" w:cs="PF Din Text Cond Pro Light"/>
          <w:color w:val="000000"/>
          <w:sz w:val="24"/>
          <w:szCs w:val="24"/>
        </w:rPr>
        <w:t>«Россети Янтарь»</w:t>
      </w:r>
    </w:p>
    <w:p w:rsidR="006063CD" w:rsidRPr="00E01434" w:rsidRDefault="006063CD" w:rsidP="00693AE4">
      <w:pPr>
        <w:contextualSpacing/>
      </w:pPr>
    </w:p>
    <w:p w:rsidR="00A16A29" w:rsidRPr="00E01434" w:rsidRDefault="00A16A29" w:rsidP="00693AE4">
      <w:pPr>
        <w:contextualSpacing/>
        <w:rPr>
          <w:rFonts w:eastAsia="NSimSun" w:cs="Mangal"/>
          <w:kern w:val="2"/>
          <w:sz w:val="28"/>
          <w:szCs w:val="28"/>
          <w:lang w:eastAsia="zh-CN" w:bidi="hi-IN"/>
        </w:rPr>
      </w:pPr>
    </w:p>
    <w:p w:rsidR="00FE76E2" w:rsidRPr="00E01434" w:rsidRDefault="00FE76E2" w:rsidP="00693AE4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sz w:val="28"/>
          <w:szCs w:val="28"/>
          <w:lang w:eastAsia="en-US"/>
        </w:rPr>
        <w:t>ПРОТОКОЛ</w:t>
      </w:r>
    </w:p>
    <w:p w:rsidR="00FE76E2" w:rsidRPr="00E01434" w:rsidRDefault="00FE76E2" w:rsidP="00693AE4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sz w:val="28"/>
          <w:szCs w:val="28"/>
          <w:lang w:eastAsia="en-US"/>
        </w:rPr>
        <w:t>заседания Совета директоров АО «</w:t>
      </w:r>
      <w:r w:rsidR="00DC2344" w:rsidRPr="00E01434">
        <w:rPr>
          <w:rFonts w:eastAsiaTheme="minorHAnsi"/>
          <w:sz w:val="28"/>
          <w:szCs w:val="28"/>
          <w:lang w:eastAsia="en-US"/>
        </w:rPr>
        <w:t>Россети Янтарь</w:t>
      </w:r>
      <w:r w:rsidRPr="00E01434">
        <w:rPr>
          <w:rFonts w:eastAsiaTheme="minorHAnsi"/>
          <w:sz w:val="28"/>
          <w:szCs w:val="28"/>
          <w:lang w:eastAsia="en-US"/>
        </w:rPr>
        <w:t>»</w:t>
      </w:r>
    </w:p>
    <w:p w:rsidR="00FE76E2" w:rsidRPr="00E01434" w:rsidRDefault="00FE76E2" w:rsidP="00693AE4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p w:rsidR="00FE76E2" w:rsidRPr="00E01434" w:rsidRDefault="00A303E8" w:rsidP="00693AE4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bCs/>
          <w:sz w:val="28"/>
          <w:szCs w:val="28"/>
          <w:lang w:eastAsia="en-US"/>
        </w:rPr>
        <w:t>2</w:t>
      </w:r>
      <w:r w:rsidR="002571ED">
        <w:rPr>
          <w:rFonts w:eastAsiaTheme="minorHAnsi"/>
          <w:bCs/>
          <w:sz w:val="28"/>
          <w:szCs w:val="28"/>
          <w:lang w:eastAsia="en-US"/>
        </w:rPr>
        <w:t>8</w:t>
      </w:r>
      <w:r w:rsidR="00F63A5E" w:rsidRPr="00E01434">
        <w:rPr>
          <w:rFonts w:eastAsiaTheme="minorHAnsi"/>
          <w:bCs/>
          <w:sz w:val="28"/>
          <w:szCs w:val="28"/>
          <w:lang w:eastAsia="en-US"/>
        </w:rPr>
        <w:t>.</w:t>
      </w:r>
      <w:r w:rsidR="00FD66BC" w:rsidRPr="00E01434">
        <w:rPr>
          <w:rFonts w:eastAsiaTheme="minorHAnsi"/>
          <w:bCs/>
          <w:sz w:val="28"/>
          <w:szCs w:val="28"/>
          <w:lang w:eastAsia="en-US"/>
        </w:rPr>
        <w:t>0</w:t>
      </w:r>
      <w:r w:rsidR="00A74749" w:rsidRPr="00E01434">
        <w:rPr>
          <w:rFonts w:eastAsiaTheme="minorHAnsi"/>
          <w:bCs/>
          <w:sz w:val="28"/>
          <w:szCs w:val="28"/>
          <w:lang w:eastAsia="en-US"/>
        </w:rPr>
        <w:t>3</w:t>
      </w:r>
      <w:r w:rsidR="00FE76E2" w:rsidRPr="00E01434">
        <w:rPr>
          <w:rFonts w:eastAsiaTheme="minorHAnsi"/>
          <w:bCs/>
          <w:sz w:val="28"/>
          <w:szCs w:val="28"/>
          <w:lang w:eastAsia="en-US"/>
        </w:rPr>
        <w:t>.202</w:t>
      </w:r>
      <w:r w:rsidR="00FD66BC" w:rsidRPr="00E01434">
        <w:rPr>
          <w:rFonts w:eastAsiaTheme="minorHAnsi"/>
          <w:bCs/>
          <w:sz w:val="28"/>
          <w:szCs w:val="28"/>
          <w:lang w:eastAsia="en-US"/>
        </w:rPr>
        <w:t>3</w:t>
      </w:r>
      <w:r w:rsidR="00FE76E2" w:rsidRPr="00E01434">
        <w:rPr>
          <w:rFonts w:eastAsiaTheme="minorHAnsi"/>
          <w:bCs/>
          <w:sz w:val="28"/>
          <w:szCs w:val="28"/>
          <w:lang w:eastAsia="en-US"/>
        </w:rPr>
        <w:tab/>
      </w:r>
      <w:r w:rsidR="00FE76E2" w:rsidRPr="00E01434">
        <w:rPr>
          <w:rFonts w:eastAsiaTheme="minorHAnsi"/>
          <w:bCs/>
          <w:sz w:val="28"/>
          <w:szCs w:val="28"/>
          <w:lang w:eastAsia="en-US"/>
        </w:rPr>
        <w:tab/>
      </w:r>
      <w:r w:rsidR="00FE76E2" w:rsidRPr="00E01434">
        <w:rPr>
          <w:rFonts w:eastAsiaTheme="minorHAnsi"/>
          <w:bCs/>
          <w:sz w:val="28"/>
          <w:szCs w:val="28"/>
          <w:lang w:eastAsia="en-US"/>
        </w:rPr>
        <w:tab/>
      </w:r>
      <w:r w:rsidR="00FE76E2" w:rsidRPr="00E01434">
        <w:rPr>
          <w:rFonts w:eastAsiaTheme="minorHAnsi"/>
          <w:bCs/>
          <w:sz w:val="28"/>
          <w:szCs w:val="28"/>
          <w:lang w:eastAsia="en-US"/>
        </w:rPr>
        <w:tab/>
      </w:r>
      <w:r w:rsidR="00C54022" w:rsidRPr="00E01434">
        <w:rPr>
          <w:rFonts w:eastAsiaTheme="minorHAnsi"/>
          <w:bCs/>
          <w:sz w:val="28"/>
          <w:szCs w:val="28"/>
          <w:lang w:eastAsia="en-US"/>
        </w:rPr>
        <w:tab/>
      </w:r>
      <w:r w:rsidR="00FE76E2" w:rsidRPr="00E01434">
        <w:rPr>
          <w:rFonts w:eastAsiaTheme="minorHAnsi"/>
          <w:bCs/>
          <w:sz w:val="28"/>
          <w:szCs w:val="28"/>
          <w:lang w:eastAsia="en-US"/>
        </w:rPr>
        <w:tab/>
      </w:r>
      <w:r w:rsidR="00757019" w:rsidRPr="00E01434">
        <w:rPr>
          <w:rFonts w:eastAsiaTheme="minorHAnsi"/>
          <w:bCs/>
          <w:sz w:val="28"/>
          <w:szCs w:val="28"/>
          <w:lang w:eastAsia="en-US"/>
        </w:rPr>
        <w:tab/>
      </w:r>
      <w:r w:rsidR="00875184" w:rsidRPr="00E01434">
        <w:rPr>
          <w:rFonts w:eastAsiaTheme="minorHAnsi"/>
          <w:bCs/>
          <w:sz w:val="28"/>
          <w:szCs w:val="28"/>
          <w:lang w:eastAsia="en-US"/>
        </w:rPr>
        <w:t xml:space="preserve">         </w:t>
      </w:r>
      <w:r w:rsidR="00FE76E2" w:rsidRPr="00E01434">
        <w:rPr>
          <w:rFonts w:eastAsiaTheme="minorHAnsi"/>
          <w:bCs/>
          <w:sz w:val="28"/>
          <w:szCs w:val="28"/>
          <w:lang w:eastAsia="en-US"/>
        </w:rPr>
        <w:t xml:space="preserve">№ </w:t>
      </w:r>
      <w:r w:rsidR="0054673D" w:rsidRPr="00E01434">
        <w:rPr>
          <w:rFonts w:eastAsiaTheme="minorHAnsi"/>
          <w:bCs/>
          <w:sz w:val="28"/>
          <w:szCs w:val="28"/>
          <w:lang w:eastAsia="en-US"/>
        </w:rPr>
        <w:t>2</w:t>
      </w:r>
      <w:r w:rsidR="002571ED">
        <w:rPr>
          <w:rFonts w:eastAsiaTheme="minorHAnsi"/>
          <w:bCs/>
          <w:sz w:val="28"/>
          <w:szCs w:val="28"/>
          <w:lang w:eastAsia="en-US"/>
        </w:rPr>
        <w:t>4</w:t>
      </w:r>
    </w:p>
    <w:p w:rsidR="00FE76E2" w:rsidRPr="00E01434" w:rsidRDefault="00FE76E2" w:rsidP="00693AE4">
      <w:pPr>
        <w:tabs>
          <w:tab w:val="left" w:pos="4065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sz w:val="28"/>
          <w:szCs w:val="28"/>
          <w:lang w:eastAsia="en-US"/>
        </w:rPr>
        <w:t>Калининград</w:t>
      </w:r>
    </w:p>
    <w:p w:rsidR="00FE76E2" w:rsidRPr="00E01434" w:rsidRDefault="00FE76E2" w:rsidP="00693AE4">
      <w:pPr>
        <w:tabs>
          <w:tab w:val="left" w:pos="4065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FE76E2" w:rsidRPr="00E01434" w:rsidRDefault="00FE76E2" w:rsidP="00693AE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sz w:val="28"/>
          <w:szCs w:val="28"/>
          <w:lang w:eastAsia="en-US"/>
        </w:rPr>
        <w:t>Форма проведения заседания Совета директоров АО «</w:t>
      </w:r>
      <w:r w:rsidR="00AC47B5" w:rsidRPr="00E01434">
        <w:rPr>
          <w:rFonts w:eastAsiaTheme="minorHAnsi"/>
          <w:sz w:val="28"/>
          <w:szCs w:val="28"/>
          <w:lang w:eastAsia="en-US"/>
        </w:rPr>
        <w:t>Россети Янтарь</w:t>
      </w:r>
      <w:r w:rsidRPr="00E01434">
        <w:rPr>
          <w:rFonts w:eastAsiaTheme="minorHAnsi"/>
          <w:sz w:val="28"/>
          <w:szCs w:val="28"/>
          <w:lang w:eastAsia="en-US"/>
        </w:rPr>
        <w:t>» - заочное голосование (опросным путем).</w:t>
      </w:r>
    </w:p>
    <w:p w:rsidR="00A303E8" w:rsidRPr="00E01434" w:rsidRDefault="00FE76E2" w:rsidP="00693AE4">
      <w:pPr>
        <w:contextualSpacing/>
        <w:jc w:val="both"/>
        <w:rPr>
          <w:sz w:val="28"/>
          <w:szCs w:val="28"/>
        </w:rPr>
      </w:pPr>
      <w:r w:rsidRPr="00E01434">
        <w:rPr>
          <w:rFonts w:eastAsiaTheme="minorHAnsi"/>
          <w:sz w:val="28"/>
          <w:szCs w:val="28"/>
          <w:lang w:eastAsia="en-US"/>
        </w:rPr>
        <w:t xml:space="preserve">Председательствующий: Председатель Совета директоров – </w:t>
      </w:r>
      <w:r w:rsidRPr="00E01434">
        <w:rPr>
          <w:sz w:val="28"/>
          <w:szCs w:val="28"/>
        </w:rPr>
        <w:t>Полинов А.А.</w:t>
      </w:r>
    </w:p>
    <w:p w:rsidR="00FE76E2" w:rsidRPr="00E01434" w:rsidRDefault="00FE76E2" w:rsidP="00693AE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sz w:val="28"/>
          <w:szCs w:val="28"/>
          <w:lang w:eastAsia="en-US"/>
        </w:rPr>
        <w:t>Корпоративный секретарь – Темнышев А.А.</w:t>
      </w:r>
    </w:p>
    <w:p w:rsidR="00FE76E2" w:rsidRPr="00E01434" w:rsidRDefault="00FE76E2" w:rsidP="00693AE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sz w:val="28"/>
          <w:szCs w:val="28"/>
          <w:lang w:eastAsia="en-US"/>
        </w:rPr>
        <w:t>Члены Совета директоров, принявшие участие в заседании</w:t>
      </w:r>
      <w:r w:rsidR="00757019" w:rsidRPr="00E01434">
        <w:rPr>
          <w:rFonts w:eastAsiaTheme="minorHAnsi"/>
          <w:sz w:val="28"/>
          <w:szCs w:val="28"/>
          <w:lang w:eastAsia="en-US"/>
        </w:rPr>
        <w:t xml:space="preserve"> (голосовании)</w:t>
      </w:r>
      <w:r w:rsidRPr="00E01434">
        <w:rPr>
          <w:rFonts w:eastAsiaTheme="minorHAnsi"/>
          <w:sz w:val="28"/>
          <w:szCs w:val="28"/>
          <w:lang w:eastAsia="en-US"/>
        </w:rPr>
        <w:t>:</w:t>
      </w:r>
    </w:p>
    <w:p w:rsidR="00FE76E2" w:rsidRPr="00E01434" w:rsidRDefault="00FE76E2" w:rsidP="00693AE4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E01434">
        <w:rPr>
          <w:sz w:val="28"/>
          <w:szCs w:val="28"/>
        </w:rPr>
        <w:t>Полинов А.А.</w:t>
      </w:r>
    </w:p>
    <w:p w:rsidR="00DE2D98" w:rsidRPr="00E01434" w:rsidRDefault="00DE2D98" w:rsidP="00693AE4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01434">
        <w:rPr>
          <w:sz w:val="28"/>
          <w:szCs w:val="28"/>
        </w:rPr>
        <w:t>Гончаров Ю.В.</w:t>
      </w:r>
    </w:p>
    <w:p w:rsidR="00DE2D98" w:rsidRPr="00E01434" w:rsidRDefault="00DE2D98" w:rsidP="00693AE4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01434">
        <w:rPr>
          <w:sz w:val="28"/>
          <w:szCs w:val="28"/>
        </w:rPr>
        <w:t>Калоева М.В.</w:t>
      </w:r>
    </w:p>
    <w:p w:rsidR="00DE2D98" w:rsidRPr="00E01434" w:rsidRDefault="00DE2D98" w:rsidP="00693AE4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01434">
        <w:rPr>
          <w:sz w:val="28"/>
          <w:szCs w:val="28"/>
        </w:rPr>
        <w:t>Краинский Д.В.</w:t>
      </w:r>
    </w:p>
    <w:p w:rsidR="00DE2D98" w:rsidRPr="00E01434" w:rsidRDefault="00DE2D98" w:rsidP="00693AE4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01434">
        <w:rPr>
          <w:sz w:val="28"/>
          <w:szCs w:val="28"/>
        </w:rPr>
        <w:t>Михеев Д.Д.</w:t>
      </w:r>
    </w:p>
    <w:p w:rsidR="00DE2D98" w:rsidRPr="00E01434" w:rsidRDefault="00DE2D98" w:rsidP="00693AE4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01434">
        <w:rPr>
          <w:sz w:val="28"/>
          <w:szCs w:val="28"/>
        </w:rPr>
        <w:t>Парамонова Н.В.</w:t>
      </w:r>
    </w:p>
    <w:p w:rsidR="00DE2D98" w:rsidRPr="00E01434" w:rsidRDefault="00DE2D98" w:rsidP="00693AE4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01434">
        <w:rPr>
          <w:sz w:val="28"/>
          <w:szCs w:val="28"/>
        </w:rPr>
        <w:t>Пидник А.Ю.</w:t>
      </w:r>
    </w:p>
    <w:p w:rsidR="00FE76E2" w:rsidRPr="00E01434" w:rsidRDefault="00FE76E2" w:rsidP="00693AE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sz w:val="28"/>
          <w:szCs w:val="28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E01434" w:rsidRDefault="00FE76E2" w:rsidP="00693AE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sz w:val="28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E01434">
        <w:rPr>
          <w:rFonts w:eastAsiaTheme="minorHAnsi"/>
          <w:sz w:val="28"/>
          <w:szCs w:val="28"/>
          <w:lang w:eastAsia="en-US"/>
        </w:rPr>
        <w:t>Россети Янтарь</w:t>
      </w:r>
      <w:r w:rsidRPr="00E01434">
        <w:rPr>
          <w:rFonts w:eastAsiaTheme="minorHAnsi"/>
          <w:sz w:val="28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E01434" w:rsidRDefault="00FE76E2" w:rsidP="00693AE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E01434" w:rsidRDefault="00FE76E2" w:rsidP="00693AE4">
      <w:pPr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2571ED" w:rsidRPr="002571ED" w:rsidRDefault="002571ED" w:rsidP="00693AE4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2571ED">
        <w:rPr>
          <w:rFonts w:eastAsia="Calibri"/>
          <w:sz w:val="28"/>
          <w:szCs w:val="28"/>
        </w:rPr>
        <w:t>Об утверждении Отчета о выполнении ключевых показателей эффективности (КПЭ) Генерального директора АО «</w:t>
      </w:r>
      <w:proofErr w:type="spellStart"/>
      <w:r w:rsidRPr="002571ED">
        <w:rPr>
          <w:rFonts w:eastAsia="Calibri"/>
          <w:sz w:val="28"/>
          <w:szCs w:val="28"/>
        </w:rPr>
        <w:t>Россети</w:t>
      </w:r>
      <w:proofErr w:type="spellEnd"/>
      <w:r w:rsidRPr="002571ED">
        <w:rPr>
          <w:rFonts w:eastAsia="Calibri"/>
          <w:sz w:val="28"/>
          <w:szCs w:val="28"/>
        </w:rPr>
        <w:t xml:space="preserve"> Янтарь» за 2021 год.</w:t>
      </w:r>
    </w:p>
    <w:p w:rsidR="00A303E8" w:rsidRPr="00E01434" w:rsidRDefault="002571ED" w:rsidP="00693AE4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bookmarkStart w:id="0" w:name="_Hlk132804273"/>
      <w:r w:rsidRPr="002571ED">
        <w:rPr>
          <w:spacing w:val="-4"/>
          <w:sz w:val="28"/>
          <w:szCs w:val="28"/>
        </w:rPr>
        <w:t>Об утверждении отчета о выполнении ключевого показателя эффективности (КПЭ) «Эффективность инновационной деятельности» Генерального директора АО «</w:t>
      </w:r>
      <w:proofErr w:type="spellStart"/>
      <w:r w:rsidRPr="002571ED">
        <w:rPr>
          <w:spacing w:val="-4"/>
          <w:sz w:val="28"/>
          <w:szCs w:val="28"/>
        </w:rPr>
        <w:t>Россети</w:t>
      </w:r>
      <w:proofErr w:type="spellEnd"/>
      <w:r w:rsidRPr="002571ED">
        <w:rPr>
          <w:spacing w:val="-4"/>
          <w:sz w:val="28"/>
          <w:szCs w:val="28"/>
        </w:rPr>
        <w:t xml:space="preserve"> Янтарь» за 2021 год.</w:t>
      </w:r>
    </w:p>
    <w:bookmarkEnd w:id="0"/>
    <w:p w:rsidR="00210629" w:rsidRPr="00E01434" w:rsidRDefault="00210629" w:rsidP="00693AE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D66BC" w:rsidRPr="00E01434" w:rsidRDefault="00FE76E2" w:rsidP="00693AE4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bookmarkStart w:id="1" w:name="_Hlk126137140"/>
      <w:r w:rsidRPr="00E01434">
        <w:rPr>
          <w:b/>
          <w:spacing w:val="-4"/>
          <w:sz w:val="28"/>
          <w:szCs w:val="28"/>
        </w:rPr>
        <w:t>ВОПРОС № 1</w:t>
      </w:r>
      <w:proofErr w:type="gramStart"/>
      <w:r w:rsidRPr="00E01434">
        <w:rPr>
          <w:b/>
          <w:spacing w:val="-4"/>
          <w:sz w:val="28"/>
          <w:szCs w:val="28"/>
        </w:rPr>
        <w:t>:</w:t>
      </w:r>
      <w:r w:rsidRPr="00E01434">
        <w:rPr>
          <w:spacing w:val="-4"/>
          <w:sz w:val="28"/>
          <w:szCs w:val="28"/>
        </w:rPr>
        <w:t xml:space="preserve"> </w:t>
      </w:r>
      <w:r w:rsidR="002571ED" w:rsidRPr="002571ED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</w:t>
      </w:r>
      <w:proofErr w:type="gramEnd"/>
      <w:r w:rsidR="002571ED" w:rsidRPr="002571ED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 xml:space="preserve"> утверждении Отчета о выполнении ключевых показателей эффективности (КПЭ) Генерального директора АО «</w:t>
      </w:r>
      <w:proofErr w:type="spellStart"/>
      <w:r w:rsidR="002571ED" w:rsidRPr="002571ED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Россети</w:t>
      </w:r>
      <w:proofErr w:type="spellEnd"/>
      <w:r w:rsidR="002571ED" w:rsidRPr="002571ED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 xml:space="preserve"> Янтарь» за 2021 год.</w:t>
      </w:r>
    </w:p>
    <w:p w:rsidR="00A303E8" w:rsidRPr="00E01434" w:rsidRDefault="00A303E8" w:rsidP="00693AE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E01434" w:rsidRDefault="00FE76E2" w:rsidP="00693AE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2571ED" w:rsidRPr="002571ED" w:rsidRDefault="002571ED" w:rsidP="002571ED">
      <w:pPr>
        <w:ind w:firstLine="709"/>
        <w:contextualSpacing/>
        <w:jc w:val="both"/>
        <w:rPr>
          <w:sz w:val="28"/>
          <w:szCs w:val="28"/>
        </w:rPr>
      </w:pPr>
      <w:bookmarkStart w:id="2" w:name="_Hlk132804451"/>
      <w:r w:rsidRPr="002571ED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2571ED">
        <w:rPr>
          <w:sz w:val="28"/>
          <w:szCs w:val="28"/>
        </w:rPr>
        <w:t>В целях оценки выполнения ключевых показателей эффективности (КПЭ) «Снижение удельных операционных расходов (затрат)», «Достижение уровня надежности оказываемых услуг» Генерального директора АО</w:t>
      </w:r>
      <w:r w:rsidR="00F84D73">
        <w:rPr>
          <w:sz w:val="28"/>
          <w:szCs w:val="28"/>
        </w:rPr>
        <w:t> </w:t>
      </w:r>
      <w:r w:rsidRPr="002571ED">
        <w:rPr>
          <w:sz w:val="28"/>
          <w:szCs w:val="28"/>
        </w:rPr>
        <w:t>«</w:t>
      </w:r>
      <w:proofErr w:type="spellStart"/>
      <w:r w:rsidRPr="002571ED">
        <w:rPr>
          <w:sz w:val="28"/>
          <w:szCs w:val="28"/>
        </w:rPr>
        <w:t>Россети</w:t>
      </w:r>
      <w:proofErr w:type="spellEnd"/>
      <w:r w:rsidRPr="002571ED">
        <w:rPr>
          <w:sz w:val="28"/>
          <w:szCs w:val="28"/>
        </w:rPr>
        <w:t xml:space="preserve"> Янтарь» за 2021 год, в связи с наличием объективных причин </w:t>
      </w:r>
      <w:r w:rsidRPr="002571ED">
        <w:rPr>
          <w:sz w:val="28"/>
          <w:szCs w:val="28"/>
        </w:rPr>
        <w:lastRenderedPageBreak/>
        <w:t>учесть корректировки соответствующих КПЭ на факторы нормализации согласно приложению к настоящему решению.</w:t>
      </w:r>
    </w:p>
    <w:p w:rsidR="002571ED" w:rsidRPr="002571ED" w:rsidRDefault="002571ED" w:rsidP="002571ED">
      <w:pPr>
        <w:ind w:firstLine="709"/>
        <w:contextualSpacing/>
        <w:jc w:val="both"/>
        <w:rPr>
          <w:sz w:val="28"/>
          <w:szCs w:val="28"/>
        </w:rPr>
      </w:pPr>
      <w:r w:rsidRPr="002571ED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2571ED">
        <w:rPr>
          <w:sz w:val="28"/>
          <w:szCs w:val="28"/>
        </w:rPr>
        <w:t>Утвердить Отчет о выполнении ключевых показателей эффективности (КПЭ) Генерального директора АО «</w:t>
      </w:r>
      <w:proofErr w:type="spellStart"/>
      <w:r w:rsidRPr="002571ED">
        <w:rPr>
          <w:sz w:val="28"/>
          <w:szCs w:val="28"/>
        </w:rPr>
        <w:t>Россети</w:t>
      </w:r>
      <w:proofErr w:type="spellEnd"/>
      <w:r w:rsidRPr="002571ED">
        <w:rPr>
          <w:sz w:val="28"/>
          <w:szCs w:val="28"/>
        </w:rPr>
        <w:t xml:space="preserve"> Янтарь» (далее – Отчет) за 2021 год в соответствии с приложением к настоящему решению Совета директоров Общества.</w:t>
      </w:r>
    </w:p>
    <w:p w:rsidR="002571ED" w:rsidRPr="002571ED" w:rsidRDefault="002571ED" w:rsidP="002571ED">
      <w:pPr>
        <w:ind w:firstLine="709"/>
        <w:contextualSpacing/>
        <w:jc w:val="both"/>
        <w:rPr>
          <w:sz w:val="28"/>
          <w:szCs w:val="28"/>
        </w:rPr>
      </w:pPr>
      <w:r w:rsidRPr="002571ED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2571ED">
        <w:rPr>
          <w:sz w:val="28"/>
          <w:szCs w:val="28"/>
        </w:rPr>
        <w:t>Подведение итогов выполнения КПЭ «Эффективность инновационной деятельности» за 2021 год осуществить отдельным решением Совета директоров АО «</w:t>
      </w:r>
      <w:proofErr w:type="spellStart"/>
      <w:r w:rsidRPr="002571ED">
        <w:rPr>
          <w:sz w:val="28"/>
          <w:szCs w:val="28"/>
        </w:rPr>
        <w:t>Россети</w:t>
      </w:r>
      <w:proofErr w:type="spellEnd"/>
      <w:r w:rsidRPr="002571ED">
        <w:rPr>
          <w:sz w:val="28"/>
          <w:szCs w:val="28"/>
        </w:rPr>
        <w:t xml:space="preserve"> Янтарь», по результатам оценки, проводимой коллегиальным органом Группы компаний «</w:t>
      </w:r>
      <w:proofErr w:type="spellStart"/>
      <w:r w:rsidRPr="002571ED">
        <w:rPr>
          <w:sz w:val="28"/>
          <w:szCs w:val="28"/>
        </w:rPr>
        <w:t>Россети</w:t>
      </w:r>
      <w:proofErr w:type="spellEnd"/>
      <w:r w:rsidRPr="002571ED">
        <w:rPr>
          <w:sz w:val="28"/>
          <w:szCs w:val="28"/>
        </w:rPr>
        <w:t>» по вопросам реализации и контроля за исполнением Программы инновационного развития ПАО «</w:t>
      </w:r>
      <w:proofErr w:type="spellStart"/>
      <w:r w:rsidRPr="002571ED">
        <w:rPr>
          <w:sz w:val="28"/>
          <w:szCs w:val="28"/>
        </w:rPr>
        <w:t>Россети</w:t>
      </w:r>
      <w:proofErr w:type="spellEnd"/>
      <w:r w:rsidRPr="002571ED">
        <w:rPr>
          <w:sz w:val="28"/>
          <w:szCs w:val="28"/>
        </w:rPr>
        <w:t>» и ДЗО ПАО «</w:t>
      </w:r>
      <w:proofErr w:type="spellStart"/>
      <w:r w:rsidRPr="002571ED">
        <w:rPr>
          <w:sz w:val="28"/>
          <w:szCs w:val="28"/>
        </w:rPr>
        <w:t>Россети</w:t>
      </w:r>
      <w:proofErr w:type="spellEnd"/>
      <w:r w:rsidRPr="002571ED">
        <w:rPr>
          <w:sz w:val="28"/>
          <w:szCs w:val="28"/>
        </w:rPr>
        <w:t>» за 2021 год в соответствии с Методикой расчета и оценки выполнения КПЭ Генерального директора АО «</w:t>
      </w:r>
      <w:proofErr w:type="spellStart"/>
      <w:r w:rsidRPr="002571ED">
        <w:rPr>
          <w:sz w:val="28"/>
          <w:szCs w:val="28"/>
        </w:rPr>
        <w:t>Янтарьэнерго</w:t>
      </w:r>
      <w:proofErr w:type="spellEnd"/>
      <w:r w:rsidRPr="002571ED">
        <w:rPr>
          <w:sz w:val="28"/>
          <w:szCs w:val="28"/>
        </w:rPr>
        <w:t>», утвержденной решением Совета директоров от 27.11.2020 (протокол № 33).</w:t>
      </w:r>
    </w:p>
    <w:p w:rsidR="002571ED" w:rsidRPr="002571ED" w:rsidRDefault="002571ED" w:rsidP="002571ED">
      <w:pPr>
        <w:ind w:firstLine="709"/>
        <w:contextualSpacing/>
        <w:jc w:val="both"/>
        <w:rPr>
          <w:sz w:val="28"/>
          <w:szCs w:val="28"/>
        </w:rPr>
      </w:pPr>
      <w:r w:rsidRPr="002571ED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2571ED">
        <w:rPr>
          <w:sz w:val="28"/>
          <w:szCs w:val="28"/>
        </w:rPr>
        <w:t>Отметить невыполнение КПЭ «Уровень потерь электроэнергии» за 2021 год.</w:t>
      </w:r>
    </w:p>
    <w:p w:rsidR="002571ED" w:rsidRDefault="002571ED" w:rsidP="002571ED">
      <w:pPr>
        <w:ind w:firstLine="709"/>
        <w:contextualSpacing/>
        <w:jc w:val="both"/>
        <w:rPr>
          <w:sz w:val="28"/>
          <w:szCs w:val="28"/>
        </w:rPr>
      </w:pPr>
      <w:r w:rsidRPr="002571ED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2571ED">
        <w:rPr>
          <w:sz w:val="28"/>
          <w:szCs w:val="28"/>
        </w:rPr>
        <w:t>Годовое премирование Генерального директора АО «</w:t>
      </w:r>
      <w:proofErr w:type="spellStart"/>
      <w:r w:rsidRPr="002571ED">
        <w:rPr>
          <w:sz w:val="28"/>
          <w:szCs w:val="28"/>
        </w:rPr>
        <w:t>Россети</w:t>
      </w:r>
      <w:proofErr w:type="spellEnd"/>
      <w:r w:rsidRPr="002571ED">
        <w:rPr>
          <w:sz w:val="28"/>
          <w:szCs w:val="28"/>
        </w:rPr>
        <w:t xml:space="preserve"> Янтарь» осуществить согласно утвержденному Отчету в соответствии с пунктом 2 настоящего решения в размере 70% от максимального размера годового вознаграждения за выполнение всех КПЭ. Решение по 20% годового вознаграждения принять по итогам выполнения КПЭ «Эффективность инновационной деятельности» за 2021 год с учетом решения согласно пункту 3 настоящего решения.</w:t>
      </w:r>
    </w:p>
    <w:bookmarkEnd w:id="2"/>
    <w:p w:rsidR="002571ED" w:rsidRPr="00E01434" w:rsidRDefault="002571ED" w:rsidP="002571ED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E01434" w:rsidRDefault="00FE76E2" w:rsidP="00693AE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E01434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757019" w:rsidRPr="00E01434" w:rsidTr="00210629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E01434" w:rsidRDefault="00757019" w:rsidP="00693AE4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E01434" w:rsidRDefault="00757019" w:rsidP="00693AE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57019" w:rsidRPr="00E01434" w:rsidRDefault="00757019" w:rsidP="00693AE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E01434" w:rsidRDefault="00757019" w:rsidP="00693AE4">
            <w:pPr>
              <w:keepNext/>
              <w:keepLines/>
              <w:ind w:firstLine="175"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57019" w:rsidRPr="00E01434" w:rsidTr="00210629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E01434" w:rsidRDefault="00757019" w:rsidP="00693AE4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E01434" w:rsidRDefault="00757019" w:rsidP="00693AE4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E01434" w:rsidRDefault="00757019" w:rsidP="00693AE4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E01434" w:rsidRDefault="00757019" w:rsidP="00693AE4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E01434" w:rsidRDefault="00757019" w:rsidP="00693AE4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E76E2" w:rsidRPr="00E01434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E01434" w:rsidRDefault="00FE76E2" w:rsidP="00693AE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E01434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E01434" w:rsidRDefault="00647CD3" w:rsidP="00693AE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25234" w:rsidRPr="00E01434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E01434" w:rsidRDefault="00AA7DA9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E01434" w:rsidRDefault="00525234" w:rsidP="00693AE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E01434" w:rsidRDefault="00AA7DA9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E01434" w:rsidRDefault="009406DD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E01434" w:rsidRDefault="009406DD" w:rsidP="00693AE4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E01434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E01434" w:rsidRDefault="00AA7DA9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="00FE76E2"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E01434" w:rsidRDefault="00FE76E2" w:rsidP="00693AE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E01434" w:rsidTr="00DA461E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E01434" w:rsidRDefault="00AA7DA9" w:rsidP="00693AE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E01434">
              <w:rPr>
                <w:sz w:val="24"/>
                <w:szCs w:val="24"/>
              </w:rPr>
              <w:t>5</w:t>
            </w:r>
            <w:r w:rsidR="00FE76E2" w:rsidRPr="00E01434">
              <w:rPr>
                <w:sz w:val="24"/>
                <w:szCs w:val="24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E01434" w:rsidRDefault="00FE76E2" w:rsidP="00693AE4">
            <w:pPr>
              <w:contextualSpacing/>
              <w:rPr>
                <w:sz w:val="24"/>
                <w:szCs w:val="24"/>
              </w:rPr>
            </w:pPr>
            <w:r w:rsidRPr="00E01434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E01434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E01434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E01434" w:rsidRDefault="00FE76E2" w:rsidP="00693AE4">
            <w:pPr>
              <w:contextualSpacing/>
              <w:rPr>
                <w:sz w:val="24"/>
                <w:szCs w:val="24"/>
              </w:rPr>
            </w:pPr>
            <w:r w:rsidRPr="00E01434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7DA9" w:rsidRPr="00E01434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E01434" w:rsidRDefault="00AA7DA9" w:rsidP="00693AE4">
            <w:pPr>
              <w:contextualSpacing/>
              <w:jc w:val="center"/>
              <w:rPr>
                <w:sz w:val="24"/>
                <w:szCs w:val="24"/>
              </w:rPr>
            </w:pPr>
            <w:r w:rsidRPr="00E01434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E01434" w:rsidRDefault="00AA7DA9" w:rsidP="00693AE4">
            <w:pPr>
              <w:contextualSpacing/>
              <w:rPr>
                <w:sz w:val="24"/>
                <w:szCs w:val="24"/>
              </w:rPr>
            </w:pPr>
            <w:r w:rsidRPr="00E01434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E01434" w:rsidRDefault="00AA7DA9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E01434" w:rsidRDefault="00AA7DA9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E01434" w:rsidRDefault="00AA7DA9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bookmarkEnd w:id="1"/>
    <w:p w:rsidR="00D76419" w:rsidRPr="00E01434" w:rsidRDefault="00D76419" w:rsidP="00693AE4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E01434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EF2FC8" w:rsidRPr="00E01434" w:rsidRDefault="00935848" w:rsidP="00693AE4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01434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935848" w:rsidRPr="00E01434" w:rsidRDefault="00935848" w:rsidP="00693AE4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A74749" w:rsidRDefault="00EF2FC8" w:rsidP="00693AE4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E01434">
        <w:rPr>
          <w:b/>
          <w:spacing w:val="-4"/>
          <w:sz w:val="28"/>
          <w:szCs w:val="28"/>
        </w:rPr>
        <w:t>ВОПРОС № 2</w:t>
      </w:r>
      <w:proofErr w:type="gramStart"/>
      <w:r w:rsidRPr="00E01434">
        <w:rPr>
          <w:b/>
          <w:spacing w:val="-4"/>
          <w:sz w:val="28"/>
          <w:szCs w:val="28"/>
        </w:rPr>
        <w:t>:</w:t>
      </w:r>
      <w:r w:rsidRPr="00E01434">
        <w:rPr>
          <w:spacing w:val="-4"/>
          <w:sz w:val="28"/>
          <w:szCs w:val="28"/>
        </w:rPr>
        <w:t xml:space="preserve"> </w:t>
      </w:r>
      <w:r w:rsidR="002571ED" w:rsidRPr="002571ED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</w:t>
      </w:r>
      <w:proofErr w:type="gramEnd"/>
      <w:r w:rsidR="002571ED" w:rsidRPr="002571ED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 xml:space="preserve"> утверждении отчета о выполнении ключевого показателя эффективности (КПЭ) «Эффективность инновационной деятельности» Генерального директора АО «</w:t>
      </w:r>
      <w:proofErr w:type="spellStart"/>
      <w:r w:rsidR="002571ED" w:rsidRPr="002571ED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Россети</w:t>
      </w:r>
      <w:proofErr w:type="spellEnd"/>
      <w:r w:rsidR="002571ED" w:rsidRPr="002571ED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 xml:space="preserve"> Янтарь» за 2021 год.</w:t>
      </w:r>
    </w:p>
    <w:p w:rsidR="002571ED" w:rsidRPr="00E01434" w:rsidRDefault="002571ED" w:rsidP="00693AE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E01434" w:rsidRDefault="00EF2FC8" w:rsidP="00693AE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2571ED" w:rsidRPr="002571ED" w:rsidRDefault="002571ED" w:rsidP="002571ED">
      <w:pPr>
        <w:ind w:firstLine="709"/>
        <w:contextualSpacing/>
        <w:jc w:val="both"/>
        <w:rPr>
          <w:sz w:val="28"/>
          <w:szCs w:val="28"/>
        </w:rPr>
      </w:pPr>
      <w:r w:rsidRPr="002571ED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2571ED">
        <w:rPr>
          <w:sz w:val="28"/>
          <w:szCs w:val="28"/>
        </w:rPr>
        <w:t xml:space="preserve">Утвердить Отчет о выполнении ключевого показателя эффективности (КПЭ) «Эффективность инновационной деятельности» </w:t>
      </w:r>
      <w:r w:rsidRPr="002571ED">
        <w:rPr>
          <w:sz w:val="28"/>
          <w:szCs w:val="28"/>
        </w:rPr>
        <w:lastRenderedPageBreak/>
        <w:t>Генерального директора АО «</w:t>
      </w:r>
      <w:proofErr w:type="spellStart"/>
      <w:r w:rsidRPr="002571ED">
        <w:rPr>
          <w:sz w:val="28"/>
          <w:szCs w:val="28"/>
        </w:rPr>
        <w:t>Россети</w:t>
      </w:r>
      <w:proofErr w:type="spellEnd"/>
      <w:r w:rsidRPr="002571ED">
        <w:rPr>
          <w:sz w:val="28"/>
          <w:szCs w:val="28"/>
        </w:rPr>
        <w:t xml:space="preserve"> Янтарь» за 2021 год (далее – Отчет) в соответствии с приложением к настоящему решению Совета директоров Общества.</w:t>
      </w:r>
    </w:p>
    <w:p w:rsidR="00A74749" w:rsidRDefault="002571ED" w:rsidP="002571ED">
      <w:pPr>
        <w:ind w:firstLine="709"/>
        <w:contextualSpacing/>
        <w:jc w:val="both"/>
        <w:rPr>
          <w:sz w:val="28"/>
          <w:szCs w:val="28"/>
        </w:rPr>
      </w:pPr>
      <w:r w:rsidRPr="002571ED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2571ED">
        <w:rPr>
          <w:sz w:val="28"/>
          <w:szCs w:val="28"/>
        </w:rPr>
        <w:t>Годовое премирование Генерального директора АО «</w:t>
      </w:r>
      <w:proofErr w:type="spellStart"/>
      <w:r w:rsidRPr="002571ED">
        <w:rPr>
          <w:sz w:val="28"/>
          <w:szCs w:val="28"/>
        </w:rPr>
        <w:t>Россети</w:t>
      </w:r>
      <w:proofErr w:type="spellEnd"/>
      <w:r w:rsidRPr="002571ED">
        <w:rPr>
          <w:sz w:val="28"/>
          <w:szCs w:val="28"/>
        </w:rPr>
        <w:t xml:space="preserve"> Янтарь» осуществить согласно утвержденному Отчету в соответствии с пунктом 1 настоящего решения в размере 20% от максимального размера годового вознаграждения за выполнение всех КПЭ.</w:t>
      </w:r>
    </w:p>
    <w:p w:rsidR="002571ED" w:rsidRPr="00E01434" w:rsidRDefault="002571ED" w:rsidP="002571ED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E01434" w:rsidRDefault="00EF2FC8" w:rsidP="00693AE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E01434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EF2FC8" w:rsidRPr="00E01434" w:rsidTr="0054673D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E01434" w:rsidRDefault="00EF2FC8" w:rsidP="00693AE4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E01434" w:rsidRDefault="00EF2FC8" w:rsidP="00693AE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F2FC8" w:rsidRPr="00E01434" w:rsidRDefault="00EF2FC8" w:rsidP="00693AE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E01434" w:rsidRDefault="00EF2FC8" w:rsidP="00693AE4">
            <w:pPr>
              <w:keepNext/>
              <w:keepLines/>
              <w:ind w:firstLine="175"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F2FC8" w:rsidRPr="00E01434" w:rsidTr="0054673D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E01434" w:rsidRDefault="00EF2FC8" w:rsidP="00693AE4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E01434" w:rsidRDefault="00EF2FC8" w:rsidP="00693AE4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EF2FC8" w:rsidRPr="00E01434" w:rsidRDefault="00EF2FC8" w:rsidP="00693AE4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E01434" w:rsidRDefault="00EF2FC8" w:rsidP="00693AE4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E01434" w:rsidRDefault="00EF2FC8" w:rsidP="00693AE4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EF2FC8" w:rsidRPr="00E01434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E01434" w:rsidRDefault="00EF2FC8" w:rsidP="00693AE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E01434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E01434" w:rsidRDefault="00EF2FC8" w:rsidP="00693AE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E01434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E01434" w:rsidRDefault="00EF2FC8" w:rsidP="00693AE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E01434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E01434" w:rsidRDefault="00EF2FC8" w:rsidP="00693AE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E01434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E01434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E01434" w:rsidRDefault="00EF2FC8" w:rsidP="00693AE4">
            <w:pPr>
              <w:contextualSpacing/>
              <w:rPr>
                <w:sz w:val="24"/>
                <w:szCs w:val="24"/>
              </w:rPr>
            </w:pPr>
            <w:r w:rsidRPr="00E01434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E01434" w:rsidTr="0054673D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E01434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E01434" w:rsidRDefault="00EF2FC8" w:rsidP="00693AE4">
            <w:pPr>
              <w:contextualSpacing/>
              <w:rPr>
                <w:sz w:val="24"/>
                <w:szCs w:val="24"/>
              </w:rPr>
            </w:pPr>
            <w:r w:rsidRPr="00E01434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E01434" w:rsidTr="0054673D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E01434" w:rsidRDefault="00EF2FC8" w:rsidP="00693AE4">
            <w:pPr>
              <w:contextualSpacing/>
              <w:jc w:val="center"/>
              <w:rPr>
                <w:sz w:val="24"/>
                <w:szCs w:val="24"/>
              </w:rPr>
            </w:pPr>
            <w:r w:rsidRPr="00E01434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E01434" w:rsidRDefault="00EF2FC8" w:rsidP="00693AE4">
            <w:pPr>
              <w:contextualSpacing/>
              <w:rPr>
                <w:sz w:val="24"/>
                <w:szCs w:val="24"/>
              </w:rPr>
            </w:pPr>
            <w:r w:rsidRPr="00E01434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35848" w:rsidRPr="00E01434" w:rsidRDefault="00496D19" w:rsidP="00693AE4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bookmarkStart w:id="3" w:name="_Hlk130213977"/>
      <w:r w:rsidRPr="00E01434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</w:t>
      </w:r>
      <w:r w:rsidR="00D26813" w:rsidRPr="00E01434">
        <w:rPr>
          <w:rFonts w:eastAsiaTheme="minorHAnsi"/>
          <w:bCs/>
          <w:i/>
          <w:color w:val="000000"/>
          <w:sz w:val="28"/>
          <w:szCs w:val="28"/>
          <w:lang w:eastAsia="en-US"/>
        </w:rPr>
        <w:t>большинством голосов членов Совета директоров Общества, принимающих участие в заседании.</w:t>
      </w:r>
      <w:bookmarkEnd w:id="3"/>
      <w:r w:rsidR="00D26813" w:rsidRPr="00E01434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EF2FC8" w:rsidRPr="00E01434" w:rsidRDefault="00935848" w:rsidP="00693AE4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01434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BB568B" w:rsidRPr="00E01434" w:rsidRDefault="00BB568B" w:rsidP="00693AE4">
      <w:pPr>
        <w:tabs>
          <w:tab w:val="left" w:pos="2977"/>
        </w:tabs>
        <w:ind w:firstLine="709"/>
        <w:contextualSpacing/>
        <w:jc w:val="both"/>
        <w:rPr>
          <w:b/>
          <w:spacing w:val="-4"/>
          <w:sz w:val="28"/>
          <w:szCs w:val="28"/>
        </w:rPr>
      </w:pPr>
    </w:p>
    <w:p w:rsidR="00FE76E2" w:rsidRPr="00E01434" w:rsidRDefault="00D26813" w:rsidP="00693AE4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E01434">
        <w:rPr>
          <w:rFonts w:eastAsiaTheme="minorHAnsi"/>
          <w:b/>
          <w:sz w:val="28"/>
          <w:szCs w:val="28"/>
          <w:lang w:eastAsia="en-US"/>
        </w:rPr>
        <w:t>По результатам голосования Совет директоров АО «Россети Янтарь» принял следующие решения:</w:t>
      </w:r>
    </w:p>
    <w:p w:rsidR="00D26813" w:rsidRPr="00E01434" w:rsidRDefault="00D26813" w:rsidP="00693AE4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FE76E2" w:rsidRPr="00E01434" w:rsidRDefault="00FE76E2" w:rsidP="00693AE4">
      <w:pPr>
        <w:ind w:firstLine="709"/>
        <w:contextualSpacing/>
        <w:jc w:val="both"/>
        <w:rPr>
          <w:rFonts w:eastAsia="Courier New"/>
          <w:sz w:val="28"/>
          <w:szCs w:val="28"/>
        </w:rPr>
      </w:pPr>
      <w:r w:rsidRPr="00E01434">
        <w:rPr>
          <w:rFonts w:eastAsia="Calibri"/>
          <w:b/>
          <w:bCs/>
          <w:color w:val="000000"/>
          <w:sz w:val="28"/>
          <w:szCs w:val="28"/>
        </w:rPr>
        <w:t>По вопросу № 1 повестки дня:</w:t>
      </w:r>
    </w:p>
    <w:p w:rsidR="002571ED" w:rsidRPr="002571ED" w:rsidRDefault="002571ED" w:rsidP="002571ED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sz w:val="28"/>
          <w:szCs w:val="28"/>
        </w:rPr>
      </w:pPr>
      <w:r w:rsidRPr="002571ED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2571ED">
        <w:rPr>
          <w:sz w:val="28"/>
          <w:szCs w:val="28"/>
        </w:rPr>
        <w:t>В целях оценки выполнения ключевых показателей эффективности (КПЭ) «Снижение удельных операционных расходов (затрат)», «Достижение уровня надежности оказываемых услуг» Генерального директора АО</w:t>
      </w:r>
      <w:r w:rsidR="00F84D73">
        <w:rPr>
          <w:sz w:val="28"/>
          <w:szCs w:val="28"/>
        </w:rPr>
        <w:t> </w:t>
      </w:r>
      <w:bookmarkStart w:id="4" w:name="_GoBack"/>
      <w:bookmarkEnd w:id="4"/>
      <w:r w:rsidRPr="002571ED">
        <w:rPr>
          <w:sz w:val="28"/>
          <w:szCs w:val="28"/>
        </w:rPr>
        <w:t>«</w:t>
      </w:r>
      <w:proofErr w:type="spellStart"/>
      <w:r w:rsidRPr="002571ED">
        <w:rPr>
          <w:sz w:val="28"/>
          <w:szCs w:val="28"/>
        </w:rPr>
        <w:t>Россети</w:t>
      </w:r>
      <w:proofErr w:type="spellEnd"/>
      <w:r w:rsidRPr="002571ED">
        <w:rPr>
          <w:sz w:val="28"/>
          <w:szCs w:val="28"/>
        </w:rPr>
        <w:t xml:space="preserve"> Янтарь» за 2021 год, в связи с наличием объективных причин учесть корректировки соответствующих КПЭ на факторы нормализации согласно приложению к настоящему решению.</w:t>
      </w:r>
    </w:p>
    <w:p w:rsidR="002571ED" w:rsidRPr="002571ED" w:rsidRDefault="002571ED" w:rsidP="002571ED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sz w:val="28"/>
          <w:szCs w:val="28"/>
        </w:rPr>
      </w:pPr>
      <w:r w:rsidRPr="002571ED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2571ED">
        <w:rPr>
          <w:sz w:val="28"/>
          <w:szCs w:val="28"/>
        </w:rPr>
        <w:t>Утвердить Отчет о выполнении ключевых показателей эффективности (КПЭ) Генерального директора АО «</w:t>
      </w:r>
      <w:proofErr w:type="spellStart"/>
      <w:r w:rsidRPr="002571ED">
        <w:rPr>
          <w:sz w:val="28"/>
          <w:szCs w:val="28"/>
        </w:rPr>
        <w:t>Россети</w:t>
      </w:r>
      <w:proofErr w:type="spellEnd"/>
      <w:r w:rsidRPr="002571ED">
        <w:rPr>
          <w:sz w:val="28"/>
          <w:szCs w:val="28"/>
        </w:rPr>
        <w:t xml:space="preserve"> Янтарь» (далее – Отчет) за 2021 год в соответствии с приложением к настоящему решению Совета директоров Общества.</w:t>
      </w:r>
    </w:p>
    <w:p w:rsidR="002571ED" w:rsidRPr="002571ED" w:rsidRDefault="002571ED" w:rsidP="002571ED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sz w:val="28"/>
          <w:szCs w:val="28"/>
        </w:rPr>
      </w:pPr>
      <w:r w:rsidRPr="002571ED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2571ED">
        <w:rPr>
          <w:sz w:val="28"/>
          <w:szCs w:val="28"/>
        </w:rPr>
        <w:t>Подведение итогов выполнения КПЭ «Эффективность инновационной деятельности» за 2021 год осуществить отдельным решением Совета директоров АО «</w:t>
      </w:r>
      <w:proofErr w:type="spellStart"/>
      <w:r w:rsidRPr="002571ED">
        <w:rPr>
          <w:sz w:val="28"/>
          <w:szCs w:val="28"/>
        </w:rPr>
        <w:t>Россети</w:t>
      </w:r>
      <w:proofErr w:type="spellEnd"/>
      <w:r w:rsidRPr="002571ED">
        <w:rPr>
          <w:sz w:val="28"/>
          <w:szCs w:val="28"/>
        </w:rPr>
        <w:t xml:space="preserve"> Янтарь», по результатам оценки, проводимой коллегиальным органом Группы компаний «</w:t>
      </w:r>
      <w:proofErr w:type="spellStart"/>
      <w:r w:rsidRPr="002571ED">
        <w:rPr>
          <w:sz w:val="28"/>
          <w:szCs w:val="28"/>
        </w:rPr>
        <w:t>Россети</w:t>
      </w:r>
      <w:proofErr w:type="spellEnd"/>
      <w:r w:rsidRPr="002571ED">
        <w:rPr>
          <w:sz w:val="28"/>
          <w:szCs w:val="28"/>
        </w:rPr>
        <w:t>» по вопросам реализации и контроля за исполнением Программы инновационного развития ПАО «</w:t>
      </w:r>
      <w:proofErr w:type="spellStart"/>
      <w:r w:rsidRPr="002571ED">
        <w:rPr>
          <w:sz w:val="28"/>
          <w:szCs w:val="28"/>
        </w:rPr>
        <w:t>Россети</w:t>
      </w:r>
      <w:proofErr w:type="spellEnd"/>
      <w:r w:rsidRPr="002571ED">
        <w:rPr>
          <w:sz w:val="28"/>
          <w:szCs w:val="28"/>
        </w:rPr>
        <w:t>» и ДЗО ПАО «</w:t>
      </w:r>
      <w:proofErr w:type="spellStart"/>
      <w:r w:rsidRPr="002571ED">
        <w:rPr>
          <w:sz w:val="28"/>
          <w:szCs w:val="28"/>
        </w:rPr>
        <w:t>Россети</w:t>
      </w:r>
      <w:proofErr w:type="spellEnd"/>
      <w:r w:rsidRPr="002571ED">
        <w:rPr>
          <w:sz w:val="28"/>
          <w:szCs w:val="28"/>
        </w:rPr>
        <w:t>» за 2021 год в соответствии с Методикой расчета и оценки выполнения КПЭ Генерального директора АО «</w:t>
      </w:r>
      <w:proofErr w:type="spellStart"/>
      <w:r w:rsidRPr="002571ED">
        <w:rPr>
          <w:sz w:val="28"/>
          <w:szCs w:val="28"/>
        </w:rPr>
        <w:t>Янтарьэнерго</w:t>
      </w:r>
      <w:proofErr w:type="spellEnd"/>
      <w:r w:rsidRPr="002571ED">
        <w:rPr>
          <w:sz w:val="28"/>
          <w:szCs w:val="28"/>
        </w:rPr>
        <w:t>», утвержденной решением Совета директоров от 27.11.2020 (протокол № 33).</w:t>
      </w:r>
    </w:p>
    <w:p w:rsidR="002571ED" w:rsidRPr="002571ED" w:rsidRDefault="002571ED" w:rsidP="002571ED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sz w:val="28"/>
          <w:szCs w:val="28"/>
        </w:rPr>
      </w:pPr>
      <w:r w:rsidRPr="002571ED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2571ED">
        <w:rPr>
          <w:sz w:val="28"/>
          <w:szCs w:val="28"/>
        </w:rPr>
        <w:t xml:space="preserve">Отметить невыполнение КПЭ «Уровень потерь электроэнергии» за </w:t>
      </w:r>
      <w:r w:rsidRPr="002571ED">
        <w:rPr>
          <w:sz w:val="28"/>
          <w:szCs w:val="28"/>
        </w:rPr>
        <w:lastRenderedPageBreak/>
        <w:t>2021 год.</w:t>
      </w:r>
    </w:p>
    <w:p w:rsidR="002571ED" w:rsidRDefault="002571ED" w:rsidP="002571ED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sz w:val="28"/>
          <w:szCs w:val="28"/>
        </w:rPr>
      </w:pPr>
      <w:r w:rsidRPr="002571ED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2571ED">
        <w:rPr>
          <w:sz w:val="28"/>
          <w:szCs w:val="28"/>
        </w:rPr>
        <w:t>Годовое премирование Генерального директора АО «</w:t>
      </w:r>
      <w:proofErr w:type="spellStart"/>
      <w:r w:rsidRPr="002571ED">
        <w:rPr>
          <w:sz w:val="28"/>
          <w:szCs w:val="28"/>
        </w:rPr>
        <w:t>Россети</w:t>
      </w:r>
      <w:proofErr w:type="spellEnd"/>
      <w:r w:rsidRPr="002571ED">
        <w:rPr>
          <w:sz w:val="28"/>
          <w:szCs w:val="28"/>
        </w:rPr>
        <w:t xml:space="preserve"> Янтарь» осуществить согласно утвержденному Отчету в соответствии с пунктом 2 настоящего решения в размере 70% от максимального размера годового вознаграждения за выполнение всех КПЭ. Решение по 20% годового вознаграждения принять по итогам выполнения КПЭ «Эффективность инновационной деятельности» за 2021 год с учетом решения согласно пункту 3 настоящего решения.</w:t>
      </w:r>
    </w:p>
    <w:p w:rsidR="002571ED" w:rsidRDefault="002571ED" w:rsidP="002571ED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b/>
          <w:sz w:val="28"/>
          <w:szCs w:val="28"/>
        </w:rPr>
      </w:pPr>
    </w:p>
    <w:p w:rsidR="00935848" w:rsidRPr="00E01434" w:rsidRDefault="00935848" w:rsidP="002571ED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b/>
          <w:sz w:val="28"/>
          <w:szCs w:val="28"/>
        </w:rPr>
      </w:pPr>
      <w:r w:rsidRPr="00E01434">
        <w:rPr>
          <w:b/>
          <w:sz w:val="28"/>
          <w:szCs w:val="28"/>
        </w:rPr>
        <w:t>По вопросу № 2 повестки дня:</w:t>
      </w:r>
    </w:p>
    <w:p w:rsidR="002571ED" w:rsidRPr="002571ED" w:rsidRDefault="002571ED" w:rsidP="002571ED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sz w:val="28"/>
          <w:szCs w:val="28"/>
        </w:rPr>
      </w:pPr>
      <w:r w:rsidRPr="002571ED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2571ED">
        <w:rPr>
          <w:sz w:val="28"/>
          <w:szCs w:val="28"/>
        </w:rPr>
        <w:t>Утвердить Отчет о выполнении ключевого показателя эффективности (КПЭ) «Эффективность инновационной деятельности» Генерального директора АО «</w:t>
      </w:r>
      <w:proofErr w:type="spellStart"/>
      <w:r w:rsidRPr="002571ED">
        <w:rPr>
          <w:sz w:val="28"/>
          <w:szCs w:val="28"/>
        </w:rPr>
        <w:t>Россети</w:t>
      </w:r>
      <w:proofErr w:type="spellEnd"/>
      <w:r w:rsidRPr="002571ED">
        <w:rPr>
          <w:sz w:val="28"/>
          <w:szCs w:val="28"/>
        </w:rPr>
        <w:t xml:space="preserve"> Янтарь» за 2021 год (далее – Отчет) в соответствии с приложением к настоящему решению Совета директоров Общества.</w:t>
      </w:r>
    </w:p>
    <w:p w:rsidR="00725107" w:rsidRPr="00E01434" w:rsidRDefault="002571ED" w:rsidP="002571ED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sz w:val="28"/>
          <w:szCs w:val="28"/>
        </w:rPr>
      </w:pPr>
      <w:r w:rsidRPr="002571ED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2571ED">
        <w:rPr>
          <w:sz w:val="28"/>
          <w:szCs w:val="28"/>
        </w:rPr>
        <w:t>Годовое премирование Генерального директора АО «</w:t>
      </w:r>
      <w:proofErr w:type="spellStart"/>
      <w:r w:rsidRPr="002571ED">
        <w:rPr>
          <w:sz w:val="28"/>
          <w:szCs w:val="28"/>
        </w:rPr>
        <w:t>Россети</w:t>
      </w:r>
      <w:proofErr w:type="spellEnd"/>
      <w:r w:rsidRPr="002571ED">
        <w:rPr>
          <w:sz w:val="28"/>
          <w:szCs w:val="28"/>
        </w:rPr>
        <w:t xml:space="preserve"> Янтарь» осуществить согласно утвержденному Отчету в соответствии с пунктом 1 настоящего решения в размере 20% от максимального размера годового вознаграждения за выполнение всех КПЭ.</w:t>
      </w:r>
    </w:p>
    <w:p w:rsidR="00E30A98" w:rsidRPr="00E01434" w:rsidRDefault="00E30A98" w:rsidP="00693AE4">
      <w:pPr>
        <w:ind w:firstLine="709"/>
        <w:contextualSpacing/>
        <w:jc w:val="both"/>
        <w:rPr>
          <w:i/>
          <w:sz w:val="28"/>
          <w:szCs w:val="28"/>
        </w:rPr>
      </w:pPr>
    </w:p>
    <w:p w:rsidR="00FE76E2" w:rsidRPr="00E01434" w:rsidRDefault="001626CD" w:rsidP="00693AE4">
      <w:pPr>
        <w:ind w:firstLine="709"/>
        <w:contextualSpacing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E01434">
        <w:rPr>
          <w:i/>
          <w:sz w:val="28"/>
          <w:szCs w:val="28"/>
        </w:rPr>
        <w:t xml:space="preserve">Дата составления протокола </w:t>
      </w:r>
      <w:r w:rsidR="00666471" w:rsidRPr="00E01434">
        <w:rPr>
          <w:i/>
          <w:sz w:val="28"/>
          <w:szCs w:val="28"/>
        </w:rPr>
        <w:t>2</w:t>
      </w:r>
      <w:r w:rsidR="002571ED">
        <w:rPr>
          <w:i/>
          <w:sz w:val="28"/>
          <w:szCs w:val="28"/>
        </w:rPr>
        <w:t>8</w:t>
      </w:r>
      <w:r w:rsidR="00FE76E2" w:rsidRPr="00E01434">
        <w:rPr>
          <w:i/>
          <w:sz w:val="28"/>
          <w:szCs w:val="28"/>
        </w:rPr>
        <w:t>.</w:t>
      </w:r>
      <w:r w:rsidR="00735DBA" w:rsidRPr="00E01434">
        <w:rPr>
          <w:i/>
          <w:sz w:val="28"/>
          <w:szCs w:val="28"/>
        </w:rPr>
        <w:t>0</w:t>
      </w:r>
      <w:r w:rsidR="00B60F72" w:rsidRPr="00E01434">
        <w:rPr>
          <w:i/>
          <w:sz w:val="28"/>
          <w:szCs w:val="28"/>
        </w:rPr>
        <w:t>3</w:t>
      </w:r>
      <w:r w:rsidR="00FE76E2" w:rsidRPr="00E01434">
        <w:rPr>
          <w:i/>
          <w:sz w:val="28"/>
          <w:szCs w:val="28"/>
        </w:rPr>
        <w:t>.202</w:t>
      </w:r>
      <w:r w:rsidR="00735DBA" w:rsidRPr="00E01434">
        <w:rPr>
          <w:i/>
          <w:sz w:val="28"/>
          <w:szCs w:val="28"/>
        </w:rPr>
        <w:t>3</w:t>
      </w:r>
      <w:r w:rsidR="00FE76E2" w:rsidRPr="00E01434">
        <w:rPr>
          <w:i/>
          <w:sz w:val="28"/>
          <w:szCs w:val="28"/>
        </w:rPr>
        <w:t>.</w:t>
      </w:r>
    </w:p>
    <w:p w:rsidR="00BD2A2B" w:rsidRPr="00E01434" w:rsidRDefault="00BD2A2B" w:rsidP="00693AE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Pr="00E01434" w:rsidRDefault="00BD2A2B" w:rsidP="00693AE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96D37" w:rsidRPr="00E01434" w:rsidRDefault="00696D37" w:rsidP="00693AE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E01434" w:rsidRDefault="00FE76E2" w:rsidP="00693AE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7D3AED" w:rsidRPr="00E01434">
        <w:rPr>
          <w:rFonts w:eastAsiaTheme="minorHAnsi"/>
          <w:sz w:val="28"/>
          <w:szCs w:val="28"/>
          <w:lang w:eastAsia="en-US"/>
        </w:rPr>
        <w:t xml:space="preserve"> </w:t>
      </w:r>
      <w:r w:rsidRPr="00E01434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637DCD" w:rsidRPr="00E01434">
        <w:rPr>
          <w:rFonts w:eastAsiaTheme="minorHAnsi"/>
          <w:sz w:val="28"/>
          <w:szCs w:val="28"/>
          <w:lang w:eastAsia="en-US"/>
        </w:rPr>
        <w:t xml:space="preserve">  </w:t>
      </w:r>
      <w:r w:rsidR="00696D37" w:rsidRPr="00E01434">
        <w:rPr>
          <w:rFonts w:eastAsiaTheme="minorHAnsi"/>
          <w:sz w:val="28"/>
          <w:szCs w:val="28"/>
          <w:lang w:eastAsia="en-US"/>
        </w:rPr>
        <w:t xml:space="preserve">   </w:t>
      </w:r>
      <w:r w:rsidR="00637DCD" w:rsidRPr="00E01434">
        <w:rPr>
          <w:rFonts w:eastAsiaTheme="minorHAnsi"/>
          <w:sz w:val="28"/>
          <w:szCs w:val="28"/>
          <w:lang w:eastAsia="en-US"/>
        </w:rPr>
        <w:t xml:space="preserve">     </w:t>
      </w:r>
      <w:r w:rsidRPr="00E01434">
        <w:rPr>
          <w:rFonts w:eastAsiaTheme="minorHAnsi"/>
          <w:sz w:val="28"/>
          <w:szCs w:val="28"/>
          <w:lang w:eastAsia="en-US"/>
        </w:rPr>
        <w:t>А.А. Полинов</w:t>
      </w:r>
    </w:p>
    <w:p w:rsidR="00FE76E2" w:rsidRPr="00E01434" w:rsidRDefault="00FE76E2" w:rsidP="00693AE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Pr="00E01434" w:rsidRDefault="00BD2A2B" w:rsidP="00693AE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C1089" w:rsidRPr="00E01434" w:rsidRDefault="009C1089" w:rsidP="00693AE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5766E" w:rsidRPr="00324BB5" w:rsidRDefault="00FE76E2" w:rsidP="00693AE4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01434">
        <w:rPr>
          <w:rFonts w:eastAsiaTheme="minorHAnsi"/>
          <w:sz w:val="28"/>
          <w:szCs w:val="28"/>
          <w:lang w:eastAsia="en-US"/>
        </w:rPr>
        <w:t xml:space="preserve">Корпоративный секретарь            </w:t>
      </w:r>
      <w:r w:rsidR="00BE63B1" w:rsidRPr="00E01434">
        <w:rPr>
          <w:rFonts w:eastAsiaTheme="minorHAnsi"/>
          <w:sz w:val="28"/>
          <w:szCs w:val="28"/>
          <w:lang w:eastAsia="en-US"/>
        </w:rPr>
        <w:t xml:space="preserve"> </w:t>
      </w:r>
      <w:r w:rsidRPr="00E01434">
        <w:rPr>
          <w:rFonts w:eastAsiaTheme="minorHAnsi"/>
          <w:sz w:val="28"/>
          <w:szCs w:val="28"/>
          <w:lang w:eastAsia="en-US"/>
        </w:rPr>
        <w:t xml:space="preserve">            </w:t>
      </w:r>
      <w:r w:rsidR="00324BB5" w:rsidRPr="00E01434">
        <w:rPr>
          <w:rFonts w:eastAsiaTheme="minorHAnsi"/>
          <w:sz w:val="28"/>
          <w:szCs w:val="28"/>
          <w:lang w:eastAsia="en-US"/>
        </w:rPr>
        <w:t xml:space="preserve"> </w:t>
      </w:r>
      <w:r w:rsidRPr="00E01434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696D37" w:rsidRPr="00E01434">
        <w:rPr>
          <w:rFonts w:eastAsiaTheme="minorHAnsi"/>
          <w:sz w:val="28"/>
          <w:szCs w:val="28"/>
          <w:lang w:eastAsia="en-US"/>
        </w:rPr>
        <w:t xml:space="preserve">   </w:t>
      </w:r>
      <w:r w:rsidRPr="00E01434">
        <w:rPr>
          <w:rFonts w:eastAsiaTheme="minorHAnsi"/>
          <w:sz w:val="28"/>
          <w:szCs w:val="28"/>
          <w:lang w:eastAsia="en-US"/>
        </w:rPr>
        <w:t xml:space="preserve">     </w:t>
      </w:r>
      <w:r w:rsidR="00637DCD" w:rsidRPr="00E01434">
        <w:rPr>
          <w:rFonts w:eastAsiaTheme="minorHAnsi"/>
          <w:sz w:val="28"/>
          <w:szCs w:val="28"/>
          <w:lang w:eastAsia="en-US"/>
        </w:rPr>
        <w:t xml:space="preserve">      </w:t>
      </w:r>
      <w:r w:rsidR="00696D37" w:rsidRPr="00E01434">
        <w:rPr>
          <w:rFonts w:eastAsiaTheme="minorHAnsi"/>
          <w:sz w:val="28"/>
          <w:szCs w:val="28"/>
          <w:lang w:eastAsia="en-US"/>
        </w:rPr>
        <w:t xml:space="preserve">  </w:t>
      </w:r>
      <w:r w:rsidR="00637DCD" w:rsidRPr="00E01434">
        <w:rPr>
          <w:rFonts w:eastAsiaTheme="minorHAnsi"/>
          <w:sz w:val="28"/>
          <w:szCs w:val="28"/>
          <w:lang w:eastAsia="en-US"/>
        </w:rPr>
        <w:t xml:space="preserve"> </w:t>
      </w:r>
      <w:r w:rsidRPr="00E01434">
        <w:rPr>
          <w:rFonts w:eastAsiaTheme="minorHAnsi"/>
          <w:sz w:val="28"/>
          <w:szCs w:val="28"/>
          <w:lang w:eastAsia="en-US"/>
        </w:rPr>
        <w:t xml:space="preserve"> А.А. Темнышев</w:t>
      </w:r>
    </w:p>
    <w:sectPr w:rsidR="00F5766E" w:rsidRPr="00324BB5" w:rsidSect="0054673D">
      <w:footerReference w:type="default" r:id="rId9"/>
      <w:pgSz w:w="11907" w:h="16840"/>
      <w:pgMar w:top="851" w:right="992" w:bottom="1134" w:left="1701" w:header="720" w:footer="5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E72" w:rsidRDefault="00825E72" w:rsidP="004C638C">
      <w:r>
        <w:separator/>
      </w:r>
    </w:p>
  </w:endnote>
  <w:endnote w:type="continuationSeparator" w:id="0">
    <w:p w:rsidR="00825E72" w:rsidRDefault="00825E72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964464745"/>
      <w:docPartObj>
        <w:docPartGallery w:val="Page Numbers (Bottom of Page)"/>
        <w:docPartUnique/>
      </w:docPartObj>
    </w:sdtPr>
    <w:sdtEndPr/>
    <w:sdtContent>
      <w:p w:rsidR="00A74749" w:rsidRPr="00E66F62" w:rsidRDefault="00A74749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E01434">
          <w:rPr>
            <w:rFonts w:ascii="Times New Roman" w:hAnsi="Times New Roman" w:cs="Times New Roman"/>
            <w:noProof/>
          </w:rPr>
          <w:t>6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E72" w:rsidRDefault="00825E72" w:rsidP="004C638C">
      <w:r>
        <w:separator/>
      </w:r>
    </w:p>
  </w:footnote>
  <w:footnote w:type="continuationSeparator" w:id="0">
    <w:p w:rsidR="00825E72" w:rsidRDefault="00825E72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65A7D"/>
    <w:multiLevelType w:val="hybridMultilevel"/>
    <w:tmpl w:val="635660BE"/>
    <w:lvl w:ilvl="0" w:tplc="EC46F994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92448"/>
    <w:multiLevelType w:val="hybridMultilevel"/>
    <w:tmpl w:val="644E9EC6"/>
    <w:lvl w:ilvl="0" w:tplc="80AEF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7324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A66168"/>
    <w:multiLevelType w:val="hybridMultilevel"/>
    <w:tmpl w:val="74869822"/>
    <w:lvl w:ilvl="0" w:tplc="B77CB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184E55"/>
    <w:multiLevelType w:val="hybridMultilevel"/>
    <w:tmpl w:val="CEC858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63616C"/>
    <w:multiLevelType w:val="hybridMultilevel"/>
    <w:tmpl w:val="65A87C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863047"/>
    <w:multiLevelType w:val="hybridMultilevel"/>
    <w:tmpl w:val="ED5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E4B6E"/>
    <w:multiLevelType w:val="hybridMultilevel"/>
    <w:tmpl w:val="BEA2DD4C"/>
    <w:lvl w:ilvl="0" w:tplc="8AEAC25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352EB"/>
    <w:multiLevelType w:val="hybridMultilevel"/>
    <w:tmpl w:val="7BD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F1502"/>
    <w:multiLevelType w:val="hybridMultilevel"/>
    <w:tmpl w:val="FBC0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F2C75"/>
    <w:multiLevelType w:val="hybridMultilevel"/>
    <w:tmpl w:val="794AAD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7640F1"/>
    <w:multiLevelType w:val="hybridMultilevel"/>
    <w:tmpl w:val="35AC7C86"/>
    <w:lvl w:ilvl="0" w:tplc="B77CB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D71EF"/>
    <w:multiLevelType w:val="multilevel"/>
    <w:tmpl w:val="EFC266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8061A46"/>
    <w:multiLevelType w:val="hybridMultilevel"/>
    <w:tmpl w:val="F4504E74"/>
    <w:lvl w:ilvl="0" w:tplc="B77CBB6E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5" w15:restartNumberingAfterBreak="0">
    <w:nsid w:val="673351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6FB4F65"/>
    <w:multiLevelType w:val="multilevel"/>
    <w:tmpl w:val="245C22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7357233"/>
    <w:multiLevelType w:val="hybridMultilevel"/>
    <w:tmpl w:val="B7E45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B037CDD"/>
    <w:multiLevelType w:val="hybridMultilevel"/>
    <w:tmpl w:val="E6A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56F76"/>
    <w:multiLevelType w:val="hybridMultilevel"/>
    <w:tmpl w:val="36E20026"/>
    <w:lvl w:ilvl="0" w:tplc="5FB65E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8"/>
  </w:num>
  <w:num w:numId="4">
    <w:abstractNumId w:val="7"/>
  </w:num>
  <w:num w:numId="5">
    <w:abstractNumId w:val="8"/>
  </w:num>
  <w:num w:numId="6">
    <w:abstractNumId w:val="9"/>
  </w:num>
  <w:num w:numId="7">
    <w:abstractNumId w:val="19"/>
  </w:num>
  <w:num w:numId="8">
    <w:abstractNumId w:val="10"/>
  </w:num>
  <w:num w:numId="9">
    <w:abstractNumId w:val="0"/>
  </w:num>
  <w:num w:numId="10">
    <w:abstractNumId w:val="5"/>
  </w:num>
  <w:num w:numId="11">
    <w:abstractNumId w:val="16"/>
  </w:num>
  <w:num w:numId="12">
    <w:abstractNumId w:val="15"/>
  </w:num>
  <w:num w:numId="13">
    <w:abstractNumId w:val="13"/>
  </w:num>
  <w:num w:numId="14">
    <w:abstractNumId w:val="13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78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5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29" w:hanging="180"/>
        </w:pPr>
        <w:rPr>
          <w:rFonts w:hint="default"/>
        </w:rPr>
      </w:lvl>
    </w:lvlOverride>
  </w:num>
  <w:num w:numId="15">
    <w:abstractNumId w:val="3"/>
  </w:num>
  <w:num w:numId="16">
    <w:abstractNumId w:val="6"/>
  </w:num>
  <w:num w:numId="17">
    <w:abstractNumId w:val="12"/>
  </w:num>
  <w:num w:numId="18">
    <w:abstractNumId w:val="14"/>
  </w:num>
  <w:num w:numId="19">
    <w:abstractNumId w:val="4"/>
  </w:num>
  <w:num w:numId="20">
    <w:abstractNumId w:val="11"/>
  </w:num>
  <w:num w:numId="2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3198"/>
    <w:rsid w:val="0005320F"/>
    <w:rsid w:val="0005666C"/>
    <w:rsid w:val="0006145A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140D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DDA"/>
    <w:rsid w:val="000D4F8B"/>
    <w:rsid w:val="000D5FA8"/>
    <w:rsid w:val="000D67D7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0F711F"/>
    <w:rsid w:val="001004DB"/>
    <w:rsid w:val="0010389D"/>
    <w:rsid w:val="0010467B"/>
    <w:rsid w:val="00106051"/>
    <w:rsid w:val="00106448"/>
    <w:rsid w:val="00107AD8"/>
    <w:rsid w:val="00107C67"/>
    <w:rsid w:val="0011130D"/>
    <w:rsid w:val="0011194B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00FA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33AE"/>
    <w:rsid w:val="00134C34"/>
    <w:rsid w:val="001350B4"/>
    <w:rsid w:val="00135D9F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875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AD3"/>
    <w:rsid w:val="002004C4"/>
    <w:rsid w:val="002007E3"/>
    <w:rsid w:val="00200D4A"/>
    <w:rsid w:val="00202C6C"/>
    <w:rsid w:val="00203AC7"/>
    <w:rsid w:val="00203E34"/>
    <w:rsid w:val="00204888"/>
    <w:rsid w:val="00207791"/>
    <w:rsid w:val="00210629"/>
    <w:rsid w:val="002106A3"/>
    <w:rsid w:val="0021137D"/>
    <w:rsid w:val="00211653"/>
    <w:rsid w:val="002131C2"/>
    <w:rsid w:val="00213B10"/>
    <w:rsid w:val="00214153"/>
    <w:rsid w:val="00215994"/>
    <w:rsid w:val="00215CD6"/>
    <w:rsid w:val="00216BE4"/>
    <w:rsid w:val="00221387"/>
    <w:rsid w:val="002224F7"/>
    <w:rsid w:val="002243A7"/>
    <w:rsid w:val="002248A2"/>
    <w:rsid w:val="00230070"/>
    <w:rsid w:val="00230213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1ED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47D2"/>
    <w:rsid w:val="002950C6"/>
    <w:rsid w:val="00297680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19D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151C"/>
    <w:rsid w:val="00321921"/>
    <w:rsid w:val="003222B2"/>
    <w:rsid w:val="00322A07"/>
    <w:rsid w:val="00323A5A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478C"/>
    <w:rsid w:val="0036551D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4ECE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6D19"/>
    <w:rsid w:val="00497422"/>
    <w:rsid w:val="004975E8"/>
    <w:rsid w:val="004A0934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5E37"/>
    <w:rsid w:val="005073F6"/>
    <w:rsid w:val="00507B3C"/>
    <w:rsid w:val="00510E08"/>
    <w:rsid w:val="005127AC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19E5"/>
    <w:rsid w:val="0053431D"/>
    <w:rsid w:val="005343A5"/>
    <w:rsid w:val="005350FA"/>
    <w:rsid w:val="0053546A"/>
    <w:rsid w:val="00535939"/>
    <w:rsid w:val="00535A15"/>
    <w:rsid w:val="00536489"/>
    <w:rsid w:val="00536C4E"/>
    <w:rsid w:val="00537E6B"/>
    <w:rsid w:val="005400E5"/>
    <w:rsid w:val="0054193E"/>
    <w:rsid w:val="00542005"/>
    <w:rsid w:val="00543665"/>
    <w:rsid w:val="00543A63"/>
    <w:rsid w:val="0054673D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636"/>
    <w:rsid w:val="00613B21"/>
    <w:rsid w:val="0061515D"/>
    <w:rsid w:val="00620C8A"/>
    <w:rsid w:val="00621525"/>
    <w:rsid w:val="00621801"/>
    <w:rsid w:val="0062250A"/>
    <w:rsid w:val="00622B82"/>
    <w:rsid w:val="0062396A"/>
    <w:rsid w:val="00624580"/>
    <w:rsid w:val="00624963"/>
    <w:rsid w:val="00626CAD"/>
    <w:rsid w:val="00627288"/>
    <w:rsid w:val="006274CD"/>
    <w:rsid w:val="0062793F"/>
    <w:rsid w:val="00627FAB"/>
    <w:rsid w:val="00631E92"/>
    <w:rsid w:val="0063333A"/>
    <w:rsid w:val="00633342"/>
    <w:rsid w:val="006346E5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61941"/>
    <w:rsid w:val="00661D5B"/>
    <w:rsid w:val="00664DE4"/>
    <w:rsid w:val="00665BD2"/>
    <w:rsid w:val="00666471"/>
    <w:rsid w:val="006674C6"/>
    <w:rsid w:val="00667CF6"/>
    <w:rsid w:val="006701F0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3AE4"/>
    <w:rsid w:val="00694715"/>
    <w:rsid w:val="00696012"/>
    <w:rsid w:val="006961EC"/>
    <w:rsid w:val="006969D6"/>
    <w:rsid w:val="00696D37"/>
    <w:rsid w:val="00697D61"/>
    <w:rsid w:val="006A027E"/>
    <w:rsid w:val="006A0ADB"/>
    <w:rsid w:val="006A12AA"/>
    <w:rsid w:val="006A1342"/>
    <w:rsid w:val="006A2688"/>
    <w:rsid w:val="006A2CAA"/>
    <w:rsid w:val="006A4F3F"/>
    <w:rsid w:val="006A61C7"/>
    <w:rsid w:val="006A6904"/>
    <w:rsid w:val="006B1715"/>
    <w:rsid w:val="006B1F0F"/>
    <w:rsid w:val="006B1F1C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5107"/>
    <w:rsid w:val="00726E03"/>
    <w:rsid w:val="00727810"/>
    <w:rsid w:val="00733287"/>
    <w:rsid w:val="007335D6"/>
    <w:rsid w:val="007349B6"/>
    <w:rsid w:val="00734B24"/>
    <w:rsid w:val="00735DBA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2670"/>
    <w:rsid w:val="00773B72"/>
    <w:rsid w:val="00773EB1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22BE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25E72"/>
    <w:rsid w:val="008305E8"/>
    <w:rsid w:val="0083089E"/>
    <w:rsid w:val="00831E97"/>
    <w:rsid w:val="008329B7"/>
    <w:rsid w:val="00832B42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584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4008"/>
    <w:rsid w:val="00955477"/>
    <w:rsid w:val="00956678"/>
    <w:rsid w:val="00956CD1"/>
    <w:rsid w:val="00956EEC"/>
    <w:rsid w:val="0096078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10EA"/>
    <w:rsid w:val="00A2242A"/>
    <w:rsid w:val="00A23459"/>
    <w:rsid w:val="00A24185"/>
    <w:rsid w:val="00A249B5"/>
    <w:rsid w:val="00A258FB"/>
    <w:rsid w:val="00A2682D"/>
    <w:rsid w:val="00A26902"/>
    <w:rsid w:val="00A303E8"/>
    <w:rsid w:val="00A32890"/>
    <w:rsid w:val="00A333BF"/>
    <w:rsid w:val="00A338D9"/>
    <w:rsid w:val="00A3483B"/>
    <w:rsid w:val="00A3521E"/>
    <w:rsid w:val="00A35CBC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6B2B"/>
    <w:rsid w:val="00A57AF8"/>
    <w:rsid w:val="00A57F05"/>
    <w:rsid w:val="00A615B7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749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684"/>
    <w:rsid w:val="00AB3B2F"/>
    <w:rsid w:val="00AB7166"/>
    <w:rsid w:val="00AC1B46"/>
    <w:rsid w:val="00AC4628"/>
    <w:rsid w:val="00AC47B5"/>
    <w:rsid w:val="00AC7477"/>
    <w:rsid w:val="00AD04EC"/>
    <w:rsid w:val="00AD06B8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AF7465"/>
    <w:rsid w:val="00B0001A"/>
    <w:rsid w:val="00B00536"/>
    <w:rsid w:val="00B053DD"/>
    <w:rsid w:val="00B060CC"/>
    <w:rsid w:val="00B06ADB"/>
    <w:rsid w:val="00B10F44"/>
    <w:rsid w:val="00B1141F"/>
    <w:rsid w:val="00B146FA"/>
    <w:rsid w:val="00B14A4E"/>
    <w:rsid w:val="00B14D7D"/>
    <w:rsid w:val="00B16450"/>
    <w:rsid w:val="00B17765"/>
    <w:rsid w:val="00B17F29"/>
    <w:rsid w:val="00B2060A"/>
    <w:rsid w:val="00B21D8D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0F72"/>
    <w:rsid w:val="00B6139A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3D57"/>
    <w:rsid w:val="00BA49D6"/>
    <w:rsid w:val="00BA4C78"/>
    <w:rsid w:val="00BA51ED"/>
    <w:rsid w:val="00BA543E"/>
    <w:rsid w:val="00BA6809"/>
    <w:rsid w:val="00BA7A7B"/>
    <w:rsid w:val="00BB04AA"/>
    <w:rsid w:val="00BB1005"/>
    <w:rsid w:val="00BB1118"/>
    <w:rsid w:val="00BB176C"/>
    <w:rsid w:val="00BB203A"/>
    <w:rsid w:val="00BB21DA"/>
    <w:rsid w:val="00BB3E81"/>
    <w:rsid w:val="00BB5569"/>
    <w:rsid w:val="00BB568B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B4E"/>
    <w:rsid w:val="00C13F1E"/>
    <w:rsid w:val="00C161D1"/>
    <w:rsid w:val="00C202B3"/>
    <w:rsid w:val="00C210AE"/>
    <w:rsid w:val="00C221AD"/>
    <w:rsid w:val="00C24397"/>
    <w:rsid w:val="00C254A0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5B2B"/>
    <w:rsid w:val="00CB62FA"/>
    <w:rsid w:val="00CB6C96"/>
    <w:rsid w:val="00CB7224"/>
    <w:rsid w:val="00CB7A00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13DF"/>
    <w:rsid w:val="00CF2563"/>
    <w:rsid w:val="00CF2960"/>
    <w:rsid w:val="00CF5968"/>
    <w:rsid w:val="00CF5B8F"/>
    <w:rsid w:val="00CF71E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21A"/>
    <w:rsid w:val="00D1649A"/>
    <w:rsid w:val="00D2195A"/>
    <w:rsid w:val="00D22856"/>
    <w:rsid w:val="00D232F9"/>
    <w:rsid w:val="00D242BD"/>
    <w:rsid w:val="00D2527A"/>
    <w:rsid w:val="00D26813"/>
    <w:rsid w:val="00D31523"/>
    <w:rsid w:val="00D359A3"/>
    <w:rsid w:val="00D400DE"/>
    <w:rsid w:val="00D4034A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A1D"/>
    <w:rsid w:val="00D74DB8"/>
    <w:rsid w:val="00D76419"/>
    <w:rsid w:val="00D7669C"/>
    <w:rsid w:val="00D7685C"/>
    <w:rsid w:val="00D76E3C"/>
    <w:rsid w:val="00D77411"/>
    <w:rsid w:val="00D8026A"/>
    <w:rsid w:val="00D80A6F"/>
    <w:rsid w:val="00D80E7A"/>
    <w:rsid w:val="00D81F9B"/>
    <w:rsid w:val="00D82822"/>
    <w:rsid w:val="00D833A8"/>
    <w:rsid w:val="00D8531C"/>
    <w:rsid w:val="00D87637"/>
    <w:rsid w:val="00D9078A"/>
    <w:rsid w:val="00D965F6"/>
    <w:rsid w:val="00D96EEF"/>
    <w:rsid w:val="00DA1E06"/>
    <w:rsid w:val="00DA273E"/>
    <w:rsid w:val="00DA3341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1434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0A98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527F"/>
    <w:rsid w:val="00E458CE"/>
    <w:rsid w:val="00E4663E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4C14"/>
    <w:rsid w:val="00EA6865"/>
    <w:rsid w:val="00EA6A66"/>
    <w:rsid w:val="00EA7E09"/>
    <w:rsid w:val="00EB08D5"/>
    <w:rsid w:val="00EB354F"/>
    <w:rsid w:val="00EB3D64"/>
    <w:rsid w:val="00EB556D"/>
    <w:rsid w:val="00EB6C78"/>
    <w:rsid w:val="00EC17E4"/>
    <w:rsid w:val="00EC235B"/>
    <w:rsid w:val="00EC3860"/>
    <w:rsid w:val="00EC43AF"/>
    <w:rsid w:val="00EC6721"/>
    <w:rsid w:val="00EC7D5D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2FC8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5BDA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CE"/>
    <w:rsid w:val="00F610E2"/>
    <w:rsid w:val="00F62B72"/>
    <w:rsid w:val="00F63071"/>
    <w:rsid w:val="00F63A5E"/>
    <w:rsid w:val="00F65473"/>
    <w:rsid w:val="00F6560F"/>
    <w:rsid w:val="00F657AA"/>
    <w:rsid w:val="00F66D76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2E59"/>
    <w:rsid w:val="00F84C89"/>
    <w:rsid w:val="00F84D73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4760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D4969"/>
    <w:rsid w:val="00FD66BC"/>
    <w:rsid w:val="00FE0CA7"/>
    <w:rsid w:val="00FE29CF"/>
    <w:rsid w:val="00FE4065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5491D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2FC8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D9401-EE2D-4487-AE3B-C6A47258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Волкова Диана Евгеньевна</cp:lastModifiedBy>
  <cp:revision>3</cp:revision>
  <cp:lastPrinted>2022-08-16T14:46:00Z</cp:lastPrinted>
  <dcterms:created xsi:type="dcterms:W3CDTF">2023-04-19T11:50:00Z</dcterms:created>
  <dcterms:modified xsi:type="dcterms:W3CDTF">2023-04-19T11:55:00Z</dcterms:modified>
</cp:coreProperties>
</file>