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E34E11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 w:rsidR="00B07B45">
        <w:rPr>
          <w:rFonts w:eastAsiaTheme="minorHAnsi"/>
          <w:b/>
          <w:bCs/>
          <w:sz w:val="28"/>
          <w:szCs w:val="28"/>
          <w:lang w:eastAsia="en-US"/>
        </w:rPr>
        <w:t>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BC7D0F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B755AE" w:rsidRDefault="00362F38" w:rsidP="00EF541A">
      <w:pPr>
        <w:pStyle w:val="a7"/>
        <w:numPr>
          <w:ilvl w:val="0"/>
          <w:numId w:val="43"/>
        </w:num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EF541A">
        <w:rPr>
          <w:rFonts w:eastAsiaTheme="minorHAnsi"/>
          <w:sz w:val="28"/>
          <w:szCs w:val="28"/>
          <w:lang w:eastAsia="en-US"/>
        </w:rPr>
        <w:t>О рассмотрении отчета об организации взаимодействия с органами исполнительной власти субъектов Российской Федерации по синхронизации выполнения единым центром компетенции по вопросам перспективного развития электроэнергетики (АО «Институт «</w:t>
      </w:r>
      <w:proofErr w:type="spellStart"/>
      <w:r w:rsidRPr="00EF541A">
        <w:rPr>
          <w:rFonts w:eastAsiaTheme="minorHAnsi"/>
          <w:sz w:val="28"/>
          <w:szCs w:val="28"/>
          <w:lang w:eastAsia="en-US"/>
        </w:rPr>
        <w:t>Энергосетьпроект</w:t>
      </w:r>
      <w:proofErr w:type="spellEnd"/>
      <w:r w:rsidRPr="00EF541A">
        <w:rPr>
          <w:rFonts w:eastAsiaTheme="minorHAnsi"/>
          <w:sz w:val="28"/>
          <w:szCs w:val="28"/>
          <w:lang w:eastAsia="en-US"/>
        </w:rPr>
        <w:t>») «Схем и программ развития электроэнергетики субъектов Российской Федерации на пятилетний перспективный период» и «Комплексных программ развития электрических сетей на пятилетний перспективный период».</w:t>
      </w:r>
    </w:p>
    <w:p w:rsidR="00EF541A" w:rsidRPr="00EF541A" w:rsidRDefault="00EF541A" w:rsidP="00EF541A">
      <w:pPr>
        <w:pStyle w:val="a7"/>
        <w:numPr>
          <w:ilvl w:val="0"/>
          <w:numId w:val="43"/>
        </w:num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EF541A">
        <w:rPr>
          <w:rFonts w:eastAsiaTheme="minorHAnsi"/>
          <w:sz w:val="28"/>
          <w:szCs w:val="28"/>
          <w:lang w:eastAsia="en-US"/>
        </w:rPr>
        <w:t>Об определении позиции Общества (представителей Общества) в Совете директоров ОАО «Янтарьэнергосбыт» по вопросу: «Об утверждении кандидатур страховых организаций для заключения договоров страхования Общества».</w:t>
      </w:r>
    </w:p>
    <w:p w:rsidR="00EF541A" w:rsidRPr="00554F03" w:rsidRDefault="00EF541A" w:rsidP="00362F38">
      <w:pPr>
        <w:spacing w:after="1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B4A71" w:rsidRPr="00554F03" w:rsidRDefault="0088629E" w:rsidP="00DC4A8F">
      <w:pPr>
        <w:jc w:val="both"/>
        <w:rPr>
          <w:color w:val="000000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362F38" w:rsidRPr="00362F38">
        <w:rPr>
          <w:sz w:val="28"/>
          <w:szCs w:val="28"/>
        </w:rPr>
        <w:t>О рассмотрении отчета об организации взаимодействия с органами исполнительной власти субъектов Российской Федерации по синхронизации выполнения единым центром компетенции по вопросам перспективного развития электроэнергетики (АО «Институт «</w:t>
      </w:r>
      <w:proofErr w:type="spellStart"/>
      <w:r w:rsidR="00362F38" w:rsidRPr="00362F38">
        <w:rPr>
          <w:sz w:val="28"/>
          <w:szCs w:val="28"/>
        </w:rPr>
        <w:t>Энергосетьпроект</w:t>
      </w:r>
      <w:proofErr w:type="spellEnd"/>
      <w:r w:rsidR="00362F38" w:rsidRPr="00362F38">
        <w:rPr>
          <w:sz w:val="28"/>
          <w:szCs w:val="28"/>
        </w:rPr>
        <w:t>») «Схем и программ развития электроэнергетики субъектов Российской Федерации на пятилетний перспективный период» и «Комплексных программ развития электрических сетей на пятилетний перспективный период».</w:t>
      </w:r>
    </w:p>
    <w:p w:rsidR="00EB4A71" w:rsidRDefault="00BB215F" w:rsidP="00EE66B2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lastRenderedPageBreak/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EF541A" w:rsidRDefault="00EF541A" w:rsidP="00EE66B2">
      <w:pPr>
        <w:jc w:val="both"/>
        <w:rPr>
          <w:bCs/>
          <w:sz w:val="28"/>
          <w:szCs w:val="28"/>
        </w:rPr>
      </w:pPr>
      <w:r w:rsidRPr="00EF541A">
        <w:rPr>
          <w:bCs/>
          <w:sz w:val="28"/>
          <w:szCs w:val="28"/>
        </w:rPr>
        <w:t>Принять к сведению отчет об организации взаимодействия с органами исполнительной власти субъектов Российской Федерации по синхронизации выполнения единым центром компетенции по вопросам перспективного развития электроэнергетики (АО «Институт «</w:t>
      </w:r>
      <w:proofErr w:type="spellStart"/>
      <w:r w:rsidRPr="00EF541A">
        <w:rPr>
          <w:bCs/>
          <w:sz w:val="28"/>
          <w:szCs w:val="28"/>
        </w:rPr>
        <w:t>Энергосетьпроект</w:t>
      </w:r>
      <w:proofErr w:type="spellEnd"/>
      <w:r w:rsidRPr="00EF541A">
        <w:rPr>
          <w:bCs/>
          <w:sz w:val="28"/>
          <w:szCs w:val="28"/>
        </w:rPr>
        <w:t>») «Схем и программ развития электроэнергетики субъектов Российской Федерации на пятилетний перспективный период» и «Комплексных программ развития электрических сетей на пятилетний перспективный период» согласно Приложению № 1 к настоящему решению Совета директоров.</w:t>
      </w:r>
    </w:p>
    <w:p w:rsidR="00FB7419" w:rsidRDefault="00FB7419" w:rsidP="00FB741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FB7419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B7419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FB7419" w:rsidRPr="00EE5B74" w:rsidRDefault="00FB7419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  <w:tcBorders>
              <w:right w:val="single" w:sz="4" w:space="0" w:color="auto"/>
            </w:tcBorders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C66365" w:rsidTr="00CE4F35">
        <w:tc>
          <w:tcPr>
            <w:tcW w:w="4583" w:type="dxa"/>
          </w:tcPr>
          <w:p w:rsidR="00FB7419" w:rsidRPr="00C66365" w:rsidRDefault="00FB7419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B7419" w:rsidRPr="00C6636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rPr>
          <w:trHeight w:val="310"/>
        </w:trPr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B7419" w:rsidRDefault="00FB7419" w:rsidP="00FB741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F337B" w:rsidRDefault="00BF337B" w:rsidP="00BF337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F337B" w:rsidRDefault="00BF337B" w:rsidP="00BF337B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EF541A" w:rsidRPr="00EF541A">
        <w:rPr>
          <w:sz w:val="28"/>
          <w:szCs w:val="28"/>
        </w:rPr>
        <w:t>Об определении позиции Общества (представителей Общества) в Совете директоров ОАО «Янтарьэнергосбыт» по вопросу: «Об утверждении кандидатур страховых организаций для заключения договоров страхования Общества».</w:t>
      </w:r>
    </w:p>
    <w:p w:rsidR="00390098" w:rsidRPr="00554F03" w:rsidRDefault="00390098" w:rsidP="00BF337B">
      <w:pPr>
        <w:jc w:val="both"/>
        <w:rPr>
          <w:color w:val="000000"/>
          <w:sz w:val="28"/>
          <w:szCs w:val="28"/>
        </w:rPr>
      </w:pPr>
    </w:p>
    <w:p w:rsidR="00BF337B" w:rsidRDefault="00BF337B" w:rsidP="00E34E11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EF541A" w:rsidRPr="00EF541A" w:rsidRDefault="00EF541A" w:rsidP="00EF541A">
      <w:pPr>
        <w:tabs>
          <w:tab w:val="left" w:pos="2977"/>
        </w:tabs>
        <w:ind w:firstLine="567"/>
        <w:contextualSpacing/>
        <w:jc w:val="both"/>
        <w:rPr>
          <w:bCs/>
          <w:sz w:val="28"/>
          <w:szCs w:val="28"/>
        </w:rPr>
      </w:pPr>
      <w:r w:rsidRPr="00EF541A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EF541A">
        <w:rPr>
          <w:bCs/>
          <w:sz w:val="28"/>
          <w:szCs w:val="28"/>
        </w:rPr>
        <w:br/>
        <w:t xml:space="preserve">ОАО «Янтарьэнергосбыт» по вопросу: «Об утверждении кандидатур страховых организаций </w:t>
      </w:r>
      <w:proofErr w:type="gramStart"/>
      <w:r w:rsidRPr="00EF541A">
        <w:rPr>
          <w:bCs/>
          <w:sz w:val="28"/>
          <w:szCs w:val="28"/>
        </w:rPr>
        <w:t>для  заключения</w:t>
      </w:r>
      <w:proofErr w:type="gramEnd"/>
      <w:r w:rsidRPr="00EF541A">
        <w:rPr>
          <w:bCs/>
          <w:sz w:val="28"/>
          <w:szCs w:val="28"/>
        </w:rPr>
        <w:t xml:space="preserve"> договоров страхования Общества» голосовать «ЗА» принятие следующего решения:</w:t>
      </w:r>
    </w:p>
    <w:p w:rsidR="00EF541A" w:rsidRPr="00EF541A" w:rsidRDefault="00EF541A" w:rsidP="00EF541A">
      <w:pPr>
        <w:tabs>
          <w:tab w:val="left" w:pos="2977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EF541A">
        <w:rPr>
          <w:sz w:val="28"/>
          <w:szCs w:val="28"/>
        </w:rPr>
        <w:t>У</w:t>
      </w:r>
      <w:r w:rsidRPr="00EF541A">
        <w:rPr>
          <w:iCs/>
          <w:sz w:val="28"/>
          <w:szCs w:val="28"/>
        </w:rPr>
        <w:t xml:space="preserve">твердить в качестве страховщика Общества следующую страховую компанию: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2699"/>
        <w:gridCol w:w="3297"/>
      </w:tblGrid>
      <w:tr w:rsidR="00EF541A" w:rsidRPr="00EF541A" w:rsidTr="00952CFD">
        <w:trPr>
          <w:cantSplit/>
          <w:trHeight w:val="80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41A" w:rsidRPr="00EF541A" w:rsidRDefault="00EF541A" w:rsidP="00EF541A">
            <w:pPr>
              <w:jc w:val="center"/>
              <w:rPr>
                <w:iCs/>
                <w:sz w:val="28"/>
                <w:szCs w:val="28"/>
              </w:rPr>
            </w:pPr>
            <w:r w:rsidRPr="00EF541A">
              <w:rPr>
                <w:iCs/>
                <w:sz w:val="28"/>
                <w:szCs w:val="28"/>
              </w:rPr>
              <w:t>Вид страхования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41A" w:rsidRPr="00EF541A" w:rsidRDefault="00EF541A" w:rsidP="00EF541A">
            <w:pPr>
              <w:jc w:val="center"/>
              <w:rPr>
                <w:iCs/>
                <w:sz w:val="28"/>
                <w:szCs w:val="28"/>
              </w:rPr>
            </w:pPr>
            <w:r w:rsidRPr="00EF541A">
              <w:rPr>
                <w:iCs/>
                <w:sz w:val="28"/>
                <w:szCs w:val="28"/>
              </w:rPr>
              <w:t>Страховая компания</w:t>
            </w:r>
          </w:p>
        </w:tc>
        <w:tc>
          <w:tcPr>
            <w:tcW w:w="3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41A" w:rsidRPr="00EF541A" w:rsidRDefault="00EF541A" w:rsidP="00EF541A">
            <w:pPr>
              <w:jc w:val="center"/>
              <w:rPr>
                <w:iCs/>
                <w:sz w:val="28"/>
                <w:szCs w:val="28"/>
              </w:rPr>
            </w:pPr>
            <w:r w:rsidRPr="00EF541A">
              <w:rPr>
                <w:iCs/>
                <w:sz w:val="28"/>
                <w:szCs w:val="28"/>
              </w:rPr>
              <w:t>Период страхования</w:t>
            </w:r>
          </w:p>
          <w:p w:rsidR="00EF541A" w:rsidRPr="00EF541A" w:rsidRDefault="00EF541A" w:rsidP="00EF541A">
            <w:pPr>
              <w:jc w:val="center"/>
              <w:rPr>
                <w:iCs/>
                <w:sz w:val="28"/>
                <w:szCs w:val="28"/>
              </w:rPr>
            </w:pPr>
            <w:r w:rsidRPr="00EF541A">
              <w:rPr>
                <w:iCs/>
                <w:sz w:val="28"/>
                <w:szCs w:val="28"/>
              </w:rPr>
              <w:t xml:space="preserve">  (период выдачи страховых полисов)</w:t>
            </w:r>
          </w:p>
        </w:tc>
      </w:tr>
      <w:tr w:rsidR="00EF541A" w:rsidRPr="00EF541A" w:rsidTr="00952CFD">
        <w:trPr>
          <w:cantSplit/>
          <w:trHeight w:val="7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41A" w:rsidRPr="00EF541A" w:rsidRDefault="00EF541A" w:rsidP="00EF541A">
            <w:pPr>
              <w:jc w:val="center"/>
              <w:rPr>
                <w:iCs/>
                <w:sz w:val="28"/>
                <w:szCs w:val="28"/>
              </w:rPr>
            </w:pPr>
            <w:bookmarkStart w:id="0" w:name="OLE_LINK9"/>
            <w:bookmarkStart w:id="1" w:name="OLE_LINK10"/>
            <w:r w:rsidRPr="00EF541A">
              <w:rPr>
                <w:iCs/>
                <w:sz w:val="28"/>
                <w:szCs w:val="28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41A" w:rsidRPr="00EF541A" w:rsidRDefault="00EF541A" w:rsidP="00EF541A">
            <w:pPr>
              <w:jc w:val="center"/>
              <w:rPr>
                <w:iCs/>
                <w:sz w:val="28"/>
                <w:szCs w:val="28"/>
              </w:rPr>
            </w:pPr>
            <w:r w:rsidRPr="00EF541A">
              <w:rPr>
                <w:iCs/>
                <w:sz w:val="28"/>
                <w:szCs w:val="28"/>
              </w:rPr>
              <w:t>СПАО «РЕСО-Гарантия»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41A" w:rsidRPr="00EF541A" w:rsidRDefault="00EF541A" w:rsidP="00EF541A">
            <w:pPr>
              <w:rPr>
                <w:iCs/>
                <w:sz w:val="28"/>
                <w:szCs w:val="28"/>
              </w:rPr>
            </w:pPr>
            <w:r w:rsidRPr="00EF541A">
              <w:rPr>
                <w:iCs/>
                <w:sz w:val="28"/>
                <w:szCs w:val="28"/>
              </w:rPr>
              <w:t xml:space="preserve">с </w:t>
            </w:r>
            <w:proofErr w:type="gramStart"/>
            <w:r w:rsidRPr="00EF541A">
              <w:rPr>
                <w:iCs/>
                <w:sz w:val="28"/>
                <w:szCs w:val="28"/>
              </w:rPr>
              <w:t>24.01.2019  по</w:t>
            </w:r>
            <w:proofErr w:type="gramEnd"/>
            <w:r w:rsidRPr="00EF541A">
              <w:rPr>
                <w:iCs/>
                <w:sz w:val="28"/>
                <w:szCs w:val="28"/>
              </w:rPr>
              <w:t xml:space="preserve"> 23.01.2020 </w:t>
            </w:r>
          </w:p>
        </w:tc>
      </w:tr>
      <w:bookmarkEnd w:id="0"/>
      <w:bookmarkEnd w:id="1"/>
    </w:tbl>
    <w:p w:rsidR="00EF541A" w:rsidRDefault="00EF541A" w:rsidP="00E34E11">
      <w:pPr>
        <w:jc w:val="both"/>
        <w:rPr>
          <w:bCs/>
          <w:sz w:val="28"/>
          <w:szCs w:val="28"/>
        </w:rPr>
      </w:pPr>
    </w:p>
    <w:p w:rsidR="00390098" w:rsidRDefault="00390098" w:rsidP="00BF337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BF337B" w:rsidRDefault="00BF337B" w:rsidP="00BF337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BF337B" w:rsidRPr="0088629E" w:rsidTr="00CE1BB3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F337B" w:rsidRPr="0088629E" w:rsidTr="00CE1BB3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BF337B" w:rsidRPr="00EE5B74" w:rsidRDefault="00BF337B" w:rsidP="00CE1B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c>
          <w:tcPr>
            <w:tcW w:w="4583" w:type="dxa"/>
            <w:tcBorders>
              <w:right w:val="single" w:sz="4" w:space="0" w:color="auto"/>
            </w:tcBorders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C66365" w:rsidTr="00CE1BB3">
        <w:tc>
          <w:tcPr>
            <w:tcW w:w="4583" w:type="dxa"/>
          </w:tcPr>
          <w:p w:rsidR="00BF337B" w:rsidRPr="00C66365" w:rsidRDefault="00BF337B" w:rsidP="00CE1B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F337B" w:rsidRPr="00C6636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rPr>
          <w:trHeight w:val="310"/>
        </w:trPr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F337B" w:rsidRDefault="00BF337B" w:rsidP="00BF337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B4A71" w:rsidRDefault="00EB4A7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46BA" w:rsidRDefault="0062730C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E323DD" w:rsidRDefault="00D146BA" w:rsidP="00146560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  <w:r w:rsidR="00EF541A" w:rsidRPr="00EF541A">
        <w:rPr>
          <w:rFonts w:eastAsiaTheme="minorHAnsi"/>
          <w:sz w:val="28"/>
          <w:szCs w:val="28"/>
          <w:lang w:eastAsia="en-US"/>
        </w:rPr>
        <w:t>Принять к сведению отчет об организации взаимодействия с органами исполнительной власти субъектов Российской Федерации по синхронизации выполнения единым центром компетенции по вопросам перспективного развития электроэнергетики (АО «Институт «</w:t>
      </w:r>
      <w:proofErr w:type="spellStart"/>
      <w:r w:rsidR="00EF541A" w:rsidRPr="00EF541A">
        <w:rPr>
          <w:rFonts w:eastAsiaTheme="minorHAnsi"/>
          <w:sz w:val="28"/>
          <w:szCs w:val="28"/>
          <w:lang w:eastAsia="en-US"/>
        </w:rPr>
        <w:t>Энергосетьпроект</w:t>
      </w:r>
      <w:proofErr w:type="spellEnd"/>
      <w:r w:rsidR="00EF541A" w:rsidRPr="00EF541A">
        <w:rPr>
          <w:rFonts w:eastAsiaTheme="minorHAnsi"/>
          <w:sz w:val="28"/>
          <w:szCs w:val="28"/>
          <w:lang w:eastAsia="en-US"/>
        </w:rPr>
        <w:t>») «Схем и программ развития электроэнергетики субъектов Российской Федерации на пятилетний перспективный период» и «Комплексных программ развития электрических сетей на пятилетний перспективный период» согласно Приложению № 1 к настоящему решению Совета директоров.</w:t>
      </w:r>
    </w:p>
    <w:p w:rsidR="00F47058" w:rsidRDefault="00D146BA" w:rsidP="00146560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146560">
        <w:rPr>
          <w:rFonts w:ascii="Times New Roman" w:eastAsia="Calibri" w:hAnsi="Times New Roman"/>
          <w:b/>
          <w:sz w:val="28"/>
          <w:szCs w:val="28"/>
          <w:lang w:eastAsia="en-US"/>
        </w:rPr>
        <w:t>По вопросу № 2:</w:t>
      </w:r>
      <w:r w:rsidR="00F47058" w:rsidRPr="00F47058">
        <w:rPr>
          <w:rFonts w:ascii="Times New Roman" w:hAnsi="Times New Roman"/>
          <w:bCs/>
          <w:sz w:val="28"/>
          <w:szCs w:val="28"/>
        </w:rPr>
        <w:t xml:space="preserve"> </w:t>
      </w:r>
    </w:p>
    <w:p w:rsidR="00EF541A" w:rsidRPr="00EF541A" w:rsidRDefault="00EF541A" w:rsidP="00EF541A">
      <w:pPr>
        <w:tabs>
          <w:tab w:val="left" w:pos="2977"/>
        </w:tabs>
        <w:ind w:firstLine="567"/>
        <w:contextualSpacing/>
        <w:jc w:val="both"/>
        <w:rPr>
          <w:bCs/>
          <w:sz w:val="28"/>
          <w:szCs w:val="28"/>
        </w:rPr>
      </w:pPr>
      <w:r w:rsidRPr="00EF541A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EF541A">
        <w:rPr>
          <w:bCs/>
          <w:sz w:val="28"/>
          <w:szCs w:val="28"/>
        </w:rPr>
        <w:br/>
        <w:t xml:space="preserve">ОАО «Янтарьэнергосбыт» по вопросу: «Об утверждении кандидатур страховых организаций </w:t>
      </w:r>
      <w:proofErr w:type="gramStart"/>
      <w:r w:rsidRPr="00EF541A">
        <w:rPr>
          <w:bCs/>
          <w:sz w:val="28"/>
          <w:szCs w:val="28"/>
        </w:rPr>
        <w:t>для  заключения</w:t>
      </w:r>
      <w:proofErr w:type="gramEnd"/>
      <w:r w:rsidRPr="00EF541A">
        <w:rPr>
          <w:bCs/>
          <w:sz w:val="28"/>
          <w:szCs w:val="28"/>
        </w:rPr>
        <w:t xml:space="preserve"> договоров страхования Общества» голосовать «ЗА» принятие следующего решения:</w:t>
      </w:r>
    </w:p>
    <w:p w:rsidR="00EF541A" w:rsidRPr="00EF541A" w:rsidRDefault="00EF541A" w:rsidP="00EF541A">
      <w:pPr>
        <w:tabs>
          <w:tab w:val="left" w:pos="2977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EF541A">
        <w:rPr>
          <w:sz w:val="28"/>
          <w:szCs w:val="28"/>
        </w:rPr>
        <w:t>У</w:t>
      </w:r>
      <w:r w:rsidRPr="00EF541A">
        <w:rPr>
          <w:iCs/>
          <w:sz w:val="28"/>
          <w:szCs w:val="28"/>
        </w:rPr>
        <w:t xml:space="preserve">твердить в качестве страховщика Общества следующую страховую компанию: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2699"/>
        <w:gridCol w:w="3297"/>
      </w:tblGrid>
      <w:tr w:rsidR="00EF541A" w:rsidRPr="00EF541A" w:rsidTr="00952CFD">
        <w:trPr>
          <w:cantSplit/>
          <w:trHeight w:val="80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41A" w:rsidRPr="00EF541A" w:rsidRDefault="00EF541A" w:rsidP="00EF541A">
            <w:pPr>
              <w:jc w:val="center"/>
              <w:rPr>
                <w:iCs/>
                <w:sz w:val="28"/>
                <w:szCs w:val="28"/>
              </w:rPr>
            </w:pPr>
            <w:r w:rsidRPr="00EF541A">
              <w:rPr>
                <w:iCs/>
                <w:sz w:val="28"/>
                <w:szCs w:val="28"/>
              </w:rPr>
              <w:t>Вид страхования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41A" w:rsidRPr="00EF541A" w:rsidRDefault="00EF541A" w:rsidP="00EF541A">
            <w:pPr>
              <w:jc w:val="center"/>
              <w:rPr>
                <w:iCs/>
                <w:sz w:val="28"/>
                <w:szCs w:val="28"/>
              </w:rPr>
            </w:pPr>
            <w:r w:rsidRPr="00EF541A">
              <w:rPr>
                <w:iCs/>
                <w:sz w:val="28"/>
                <w:szCs w:val="28"/>
              </w:rPr>
              <w:t>Страховая компания</w:t>
            </w:r>
          </w:p>
        </w:tc>
        <w:tc>
          <w:tcPr>
            <w:tcW w:w="3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41A" w:rsidRPr="00EF541A" w:rsidRDefault="00EF541A" w:rsidP="00EF541A">
            <w:pPr>
              <w:jc w:val="center"/>
              <w:rPr>
                <w:iCs/>
                <w:sz w:val="28"/>
                <w:szCs w:val="28"/>
              </w:rPr>
            </w:pPr>
            <w:r w:rsidRPr="00EF541A">
              <w:rPr>
                <w:iCs/>
                <w:sz w:val="28"/>
                <w:szCs w:val="28"/>
              </w:rPr>
              <w:t>Период страхования</w:t>
            </w:r>
          </w:p>
          <w:p w:rsidR="00EF541A" w:rsidRPr="00EF541A" w:rsidRDefault="00EF541A" w:rsidP="00EF541A">
            <w:pPr>
              <w:jc w:val="center"/>
              <w:rPr>
                <w:iCs/>
                <w:sz w:val="28"/>
                <w:szCs w:val="28"/>
              </w:rPr>
            </w:pPr>
            <w:r w:rsidRPr="00EF541A">
              <w:rPr>
                <w:iCs/>
                <w:sz w:val="28"/>
                <w:szCs w:val="28"/>
              </w:rPr>
              <w:t xml:space="preserve">  (период выдачи страховых полисов)</w:t>
            </w:r>
          </w:p>
        </w:tc>
      </w:tr>
      <w:tr w:rsidR="00EF541A" w:rsidRPr="00EF541A" w:rsidTr="00952CFD">
        <w:trPr>
          <w:cantSplit/>
          <w:trHeight w:val="7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41A" w:rsidRPr="00EF541A" w:rsidRDefault="00EF541A" w:rsidP="00EF541A">
            <w:pPr>
              <w:jc w:val="center"/>
              <w:rPr>
                <w:iCs/>
                <w:sz w:val="28"/>
                <w:szCs w:val="28"/>
              </w:rPr>
            </w:pPr>
            <w:r w:rsidRPr="00EF541A">
              <w:rPr>
                <w:iCs/>
                <w:sz w:val="28"/>
                <w:szCs w:val="28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41A" w:rsidRPr="00EF541A" w:rsidRDefault="00EF541A" w:rsidP="00EF541A">
            <w:pPr>
              <w:jc w:val="center"/>
              <w:rPr>
                <w:iCs/>
                <w:sz w:val="28"/>
                <w:szCs w:val="28"/>
              </w:rPr>
            </w:pPr>
            <w:r w:rsidRPr="00EF541A">
              <w:rPr>
                <w:iCs/>
                <w:sz w:val="28"/>
                <w:szCs w:val="28"/>
              </w:rPr>
              <w:t>СПАО «РЕСО-Гарантия»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41A" w:rsidRPr="00EF541A" w:rsidRDefault="00EF541A" w:rsidP="00EF541A">
            <w:pPr>
              <w:rPr>
                <w:iCs/>
                <w:sz w:val="28"/>
                <w:szCs w:val="28"/>
              </w:rPr>
            </w:pPr>
            <w:r w:rsidRPr="00EF541A">
              <w:rPr>
                <w:iCs/>
                <w:sz w:val="28"/>
                <w:szCs w:val="28"/>
              </w:rPr>
              <w:t xml:space="preserve">с </w:t>
            </w:r>
            <w:proofErr w:type="gramStart"/>
            <w:r w:rsidRPr="00EF541A">
              <w:rPr>
                <w:iCs/>
                <w:sz w:val="28"/>
                <w:szCs w:val="28"/>
              </w:rPr>
              <w:t>24.01.2019  по</w:t>
            </w:r>
            <w:proofErr w:type="gramEnd"/>
            <w:r w:rsidRPr="00EF541A">
              <w:rPr>
                <w:iCs/>
                <w:sz w:val="28"/>
                <w:szCs w:val="28"/>
              </w:rPr>
              <w:t xml:space="preserve"> 23.01.2020 </w:t>
            </w:r>
          </w:p>
        </w:tc>
      </w:tr>
    </w:tbl>
    <w:p w:rsidR="00EF541A" w:rsidRPr="00F47058" w:rsidRDefault="00EF541A" w:rsidP="00146560">
      <w:pPr>
        <w:pStyle w:val="ae"/>
        <w:jc w:val="both"/>
        <w:rPr>
          <w:rFonts w:ascii="Times New Roman" w:hAnsi="Times New Roman"/>
          <w:b/>
          <w:sz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E34E11">
        <w:rPr>
          <w:rFonts w:eastAsiaTheme="minorHAnsi"/>
          <w:bCs/>
          <w:color w:val="000000"/>
          <w:sz w:val="28"/>
          <w:szCs w:val="28"/>
          <w:lang w:eastAsia="en-US"/>
        </w:rPr>
        <w:t>30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января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055844" w:rsidRDefault="00055844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  <w:bookmarkStart w:id="2" w:name="_GoBack"/>
      <w:bookmarkEnd w:id="2"/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8B7" w:rsidRDefault="00B848B7" w:rsidP="001D1CEA">
      <w:r>
        <w:separator/>
      </w:r>
    </w:p>
  </w:endnote>
  <w:endnote w:type="continuationSeparator" w:id="0">
    <w:p w:rsidR="00B848B7" w:rsidRDefault="00B848B7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8B7" w:rsidRDefault="00B848B7" w:rsidP="001D1CEA">
      <w:r>
        <w:separator/>
      </w:r>
    </w:p>
  </w:footnote>
  <w:footnote w:type="continuationSeparator" w:id="0">
    <w:p w:rsidR="00B848B7" w:rsidRDefault="00B848B7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DE1B80" w:rsidRDefault="00DE1B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098">
          <w:rPr>
            <w:noProof/>
          </w:rPr>
          <w:t>3</w:t>
        </w:r>
        <w:r>
          <w:fldChar w:fldCharType="end"/>
        </w:r>
      </w:p>
    </w:sdtContent>
  </w:sdt>
  <w:p w:rsidR="00DE1B80" w:rsidRDefault="00DE1B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14C"/>
    <w:multiLevelType w:val="hybridMultilevel"/>
    <w:tmpl w:val="5E520AC6"/>
    <w:lvl w:ilvl="0" w:tplc="72F8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6372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47770"/>
    <w:multiLevelType w:val="hybridMultilevel"/>
    <w:tmpl w:val="33327EDC"/>
    <w:lvl w:ilvl="0" w:tplc="161212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A231D1"/>
    <w:multiLevelType w:val="hybridMultilevel"/>
    <w:tmpl w:val="DA3A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0B36CB"/>
    <w:multiLevelType w:val="hybridMultilevel"/>
    <w:tmpl w:val="815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9081A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D1631B"/>
    <w:multiLevelType w:val="hybridMultilevel"/>
    <w:tmpl w:val="817E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8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273BE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F1464"/>
    <w:multiLevelType w:val="hybridMultilevel"/>
    <w:tmpl w:val="19D8C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5"/>
  </w:num>
  <w:num w:numId="4">
    <w:abstractNumId w:val="27"/>
  </w:num>
  <w:num w:numId="5">
    <w:abstractNumId w:val="12"/>
  </w:num>
  <w:num w:numId="6">
    <w:abstractNumId w:val="34"/>
  </w:num>
  <w:num w:numId="7">
    <w:abstractNumId w:val="28"/>
  </w:num>
  <w:num w:numId="8">
    <w:abstractNumId w:val="21"/>
  </w:num>
  <w:num w:numId="9">
    <w:abstractNumId w:val="20"/>
  </w:num>
  <w:num w:numId="10">
    <w:abstractNumId w:val="11"/>
  </w:num>
  <w:num w:numId="11">
    <w:abstractNumId w:val="4"/>
  </w:num>
  <w:num w:numId="12">
    <w:abstractNumId w:val="1"/>
  </w:num>
  <w:num w:numId="13">
    <w:abstractNumId w:val="42"/>
  </w:num>
  <w:num w:numId="14">
    <w:abstractNumId w:val="13"/>
  </w:num>
  <w:num w:numId="15">
    <w:abstractNumId w:val="37"/>
  </w:num>
  <w:num w:numId="16">
    <w:abstractNumId w:val="36"/>
  </w:num>
  <w:num w:numId="17">
    <w:abstractNumId w:val="14"/>
  </w:num>
  <w:num w:numId="18">
    <w:abstractNumId w:val="38"/>
  </w:num>
  <w:num w:numId="19">
    <w:abstractNumId w:val="39"/>
  </w:num>
  <w:num w:numId="20">
    <w:abstractNumId w:val="7"/>
  </w:num>
  <w:num w:numId="21">
    <w:abstractNumId w:val="31"/>
  </w:num>
  <w:num w:numId="22">
    <w:abstractNumId w:val="18"/>
  </w:num>
  <w:num w:numId="23">
    <w:abstractNumId w:val="22"/>
  </w:num>
  <w:num w:numId="24">
    <w:abstractNumId w:val="9"/>
  </w:num>
  <w:num w:numId="25">
    <w:abstractNumId w:val="19"/>
  </w:num>
  <w:num w:numId="26">
    <w:abstractNumId w:val="0"/>
  </w:num>
  <w:num w:numId="27">
    <w:abstractNumId w:val="33"/>
  </w:num>
  <w:num w:numId="28">
    <w:abstractNumId w:val="3"/>
  </w:num>
  <w:num w:numId="29">
    <w:abstractNumId w:val="17"/>
  </w:num>
  <w:num w:numId="30">
    <w:abstractNumId w:val="5"/>
  </w:num>
  <w:num w:numId="31">
    <w:abstractNumId w:val="24"/>
  </w:num>
  <w:num w:numId="32">
    <w:abstractNumId w:val="16"/>
  </w:num>
  <w:num w:numId="33">
    <w:abstractNumId w:val="30"/>
  </w:num>
  <w:num w:numId="34">
    <w:abstractNumId w:val="23"/>
  </w:num>
  <w:num w:numId="35">
    <w:abstractNumId w:val="41"/>
  </w:num>
  <w:num w:numId="36">
    <w:abstractNumId w:val="29"/>
  </w:num>
  <w:num w:numId="37">
    <w:abstractNumId w:val="32"/>
  </w:num>
  <w:num w:numId="38">
    <w:abstractNumId w:val="40"/>
  </w:num>
  <w:num w:numId="39">
    <w:abstractNumId w:val="6"/>
  </w:num>
  <w:num w:numId="40">
    <w:abstractNumId w:val="8"/>
  </w:num>
  <w:num w:numId="41">
    <w:abstractNumId w:val="2"/>
  </w:num>
  <w:num w:numId="42">
    <w:abstractNumId w:val="35"/>
  </w:num>
  <w:num w:numId="4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F02B9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F13"/>
    <w:rsid w:val="003623A7"/>
    <w:rsid w:val="00362F38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0098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F9D"/>
    <w:rsid w:val="003E0358"/>
    <w:rsid w:val="003E078D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5621"/>
    <w:rsid w:val="00826975"/>
    <w:rsid w:val="00833212"/>
    <w:rsid w:val="008339B2"/>
    <w:rsid w:val="008344AB"/>
    <w:rsid w:val="00835578"/>
    <w:rsid w:val="00836903"/>
    <w:rsid w:val="00836B48"/>
    <w:rsid w:val="00837E4A"/>
    <w:rsid w:val="00840B83"/>
    <w:rsid w:val="00843442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997"/>
    <w:rsid w:val="008F059B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48B7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151D6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1F9D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F35"/>
    <w:rsid w:val="00CE5AEE"/>
    <w:rsid w:val="00CE6151"/>
    <w:rsid w:val="00CE7D0C"/>
    <w:rsid w:val="00CF01A8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4E11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41A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E57BB-DE70-4417-946E-DCD9F6D7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30</cp:revision>
  <cp:lastPrinted>2018-12-21T06:56:00Z</cp:lastPrinted>
  <dcterms:created xsi:type="dcterms:W3CDTF">2018-12-27T15:19:00Z</dcterms:created>
  <dcterms:modified xsi:type="dcterms:W3CDTF">2019-01-31T11:54:00Z</dcterms:modified>
</cp:coreProperties>
</file>