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6C2A53" w:rsidRDefault="00A16A29" w:rsidP="00757019">
      <w:pPr>
        <w:ind w:left="1276"/>
        <w:contextualSpacing/>
        <w:jc w:val="right"/>
        <w:rPr>
          <w:color w:val="000000"/>
          <w:sz w:val="27"/>
          <w:szCs w:val="27"/>
        </w:rPr>
      </w:pPr>
      <w:r w:rsidRPr="006C2A53"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A53">
        <w:rPr>
          <w:color w:val="000000"/>
          <w:sz w:val="27"/>
          <w:szCs w:val="27"/>
        </w:rPr>
        <w:t>Акционерное общество</w:t>
      </w:r>
    </w:p>
    <w:p w:rsidR="00A16A29" w:rsidRPr="006C2A53" w:rsidRDefault="00A16A29" w:rsidP="00210629">
      <w:pPr>
        <w:ind w:left="1276"/>
        <w:contextualSpacing/>
        <w:jc w:val="right"/>
        <w:rPr>
          <w:color w:val="000000"/>
          <w:sz w:val="27"/>
          <w:szCs w:val="27"/>
        </w:rPr>
      </w:pPr>
      <w:r w:rsidRPr="006C2A53">
        <w:rPr>
          <w:color w:val="000000"/>
          <w:sz w:val="27"/>
          <w:szCs w:val="27"/>
        </w:rPr>
        <w:t>«Россети Янтарь»</w:t>
      </w:r>
    </w:p>
    <w:p w:rsidR="006063CD" w:rsidRPr="006C2A53" w:rsidRDefault="006063CD" w:rsidP="00757019">
      <w:pPr>
        <w:contextualSpacing/>
        <w:rPr>
          <w:sz w:val="27"/>
          <w:szCs w:val="27"/>
        </w:rPr>
      </w:pPr>
    </w:p>
    <w:p w:rsidR="00A16A29" w:rsidRPr="006C2A53" w:rsidRDefault="00A16A29" w:rsidP="009C1089">
      <w:pPr>
        <w:contextualSpacing/>
        <w:rPr>
          <w:rFonts w:eastAsia="NSimSun"/>
          <w:kern w:val="2"/>
          <w:sz w:val="27"/>
          <w:szCs w:val="27"/>
          <w:lang w:eastAsia="zh-CN" w:bidi="hi-IN"/>
        </w:rPr>
      </w:pPr>
    </w:p>
    <w:p w:rsidR="00FE76E2" w:rsidRPr="006C2A53" w:rsidRDefault="00FE76E2" w:rsidP="00757019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ПРОТОКОЛ</w:t>
      </w:r>
    </w:p>
    <w:p w:rsidR="00FE76E2" w:rsidRPr="006C2A53" w:rsidRDefault="00FE76E2" w:rsidP="00757019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заседания Совета директоров АО «</w:t>
      </w:r>
      <w:r w:rsidR="00DC2344" w:rsidRPr="006C2A53">
        <w:rPr>
          <w:rFonts w:eastAsiaTheme="minorHAnsi"/>
          <w:sz w:val="27"/>
          <w:szCs w:val="27"/>
          <w:lang w:eastAsia="en-US"/>
        </w:rPr>
        <w:t>Россети Янтарь</w:t>
      </w:r>
      <w:r w:rsidRPr="006C2A53">
        <w:rPr>
          <w:rFonts w:eastAsiaTheme="minorHAnsi"/>
          <w:sz w:val="27"/>
          <w:szCs w:val="27"/>
          <w:lang w:eastAsia="en-US"/>
        </w:rPr>
        <w:t>»</w:t>
      </w:r>
    </w:p>
    <w:p w:rsidR="00FE76E2" w:rsidRPr="006C2A53" w:rsidRDefault="00FE76E2" w:rsidP="009C1089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6C2A53" w:rsidTr="00D03F54">
        <w:tc>
          <w:tcPr>
            <w:tcW w:w="4673" w:type="dxa"/>
          </w:tcPr>
          <w:p w:rsidR="00D34895" w:rsidRPr="006C2A53" w:rsidRDefault="00D03F54" w:rsidP="00301CAC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>23</w:t>
            </w:r>
            <w:r w:rsidR="00D34895"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301CAC"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  <w:r w:rsidR="00D34895"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>.2023</w:t>
            </w:r>
          </w:p>
        </w:tc>
        <w:tc>
          <w:tcPr>
            <w:tcW w:w="4673" w:type="dxa"/>
          </w:tcPr>
          <w:p w:rsidR="00D34895" w:rsidRPr="006C2A53" w:rsidRDefault="00D34895" w:rsidP="00D03F54">
            <w:pPr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r w:rsidR="00D03F54" w:rsidRPr="006C2A53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</w:p>
        </w:tc>
      </w:tr>
    </w:tbl>
    <w:p w:rsidR="00D34895" w:rsidRPr="006C2A53" w:rsidRDefault="00D34895" w:rsidP="009C1089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p w:rsidR="00FE76E2" w:rsidRPr="006C2A53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Калининград</w:t>
      </w:r>
    </w:p>
    <w:p w:rsidR="00FE76E2" w:rsidRPr="006C2A53" w:rsidRDefault="00FE76E2" w:rsidP="009C1089">
      <w:pPr>
        <w:tabs>
          <w:tab w:val="left" w:pos="4065"/>
        </w:tabs>
        <w:contextualSpacing/>
        <w:rPr>
          <w:rFonts w:eastAsiaTheme="minorHAnsi"/>
          <w:sz w:val="27"/>
          <w:szCs w:val="27"/>
          <w:lang w:eastAsia="en-US"/>
        </w:rPr>
      </w:pPr>
    </w:p>
    <w:p w:rsidR="00FE76E2" w:rsidRPr="006C2A53" w:rsidRDefault="00FE76E2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Форма проведения заседания Совета директоров АО «</w:t>
      </w:r>
      <w:r w:rsidR="00AC47B5" w:rsidRPr="006C2A53">
        <w:rPr>
          <w:rFonts w:eastAsiaTheme="minorHAnsi"/>
          <w:sz w:val="27"/>
          <w:szCs w:val="27"/>
          <w:lang w:eastAsia="en-US"/>
        </w:rPr>
        <w:t>Россети Янтарь</w:t>
      </w:r>
      <w:r w:rsidRPr="006C2A53">
        <w:rPr>
          <w:rFonts w:eastAsiaTheme="minorHAnsi"/>
          <w:sz w:val="27"/>
          <w:szCs w:val="27"/>
          <w:lang w:eastAsia="en-US"/>
        </w:rPr>
        <w:t>» - заочное голосование (опросным путем).</w:t>
      </w:r>
    </w:p>
    <w:p w:rsidR="00D34895" w:rsidRPr="006C2A53" w:rsidRDefault="00FE76E2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 xml:space="preserve">Председательствующий: Председатель Совета директоров – </w:t>
      </w:r>
      <w:r w:rsidRPr="006C2A53">
        <w:rPr>
          <w:sz w:val="27"/>
          <w:szCs w:val="27"/>
        </w:rPr>
        <w:t>Полинов А.А.</w:t>
      </w:r>
    </w:p>
    <w:p w:rsidR="00FE76E2" w:rsidRPr="006C2A53" w:rsidRDefault="00FE76E2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Корпоративный секретарь – Темнышев А.А.</w:t>
      </w:r>
    </w:p>
    <w:p w:rsidR="00FE76E2" w:rsidRPr="006C2A53" w:rsidRDefault="00FE76E2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C2A53">
        <w:rPr>
          <w:rFonts w:eastAsiaTheme="minorHAnsi"/>
          <w:sz w:val="27"/>
          <w:szCs w:val="27"/>
          <w:lang w:eastAsia="en-US"/>
        </w:rPr>
        <w:t>Члены Совета директоров, принявшие участие в заседании</w:t>
      </w:r>
      <w:r w:rsidR="00757019" w:rsidRPr="006C2A53">
        <w:rPr>
          <w:rFonts w:eastAsiaTheme="minorHAnsi"/>
          <w:sz w:val="27"/>
          <w:szCs w:val="27"/>
          <w:lang w:eastAsia="en-US"/>
        </w:rPr>
        <w:t xml:space="preserve"> (голосовании)</w:t>
      </w:r>
      <w:r w:rsidRPr="006C2A53">
        <w:rPr>
          <w:rFonts w:eastAsiaTheme="minorHAnsi"/>
          <w:sz w:val="27"/>
          <w:szCs w:val="27"/>
          <w:lang w:eastAsia="en-US"/>
        </w:rPr>
        <w:t>:</w:t>
      </w:r>
    </w:p>
    <w:p w:rsidR="00FE76E2" w:rsidRPr="00D03F54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D03F54">
        <w:rPr>
          <w:sz w:val="27"/>
          <w:szCs w:val="27"/>
        </w:rPr>
        <w:t>Полинов А.А.</w:t>
      </w:r>
    </w:p>
    <w:p w:rsidR="00297F5B" w:rsidRPr="00D03F54" w:rsidRDefault="00297F5B" w:rsidP="00297F5B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D03F54">
        <w:rPr>
          <w:sz w:val="27"/>
          <w:szCs w:val="27"/>
        </w:rPr>
        <w:t>Агафонов М.С.</w:t>
      </w:r>
    </w:p>
    <w:p w:rsidR="00961B2E" w:rsidRPr="00D03F54" w:rsidRDefault="00961B2E" w:rsidP="00961B2E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D03F54">
        <w:rPr>
          <w:sz w:val="27"/>
          <w:szCs w:val="27"/>
        </w:rPr>
        <w:t>Антониадис А.А.</w:t>
      </w:r>
    </w:p>
    <w:p w:rsidR="00DE2D98" w:rsidRPr="00D03F54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Калоева М.В.</w:t>
      </w:r>
    </w:p>
    <w:p w:rsidR="00961B2E" w:rsidRPr="00D03F54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Пидник А.Ю.</w:t>
      </w:r>
    </w:p>
    <w:p w:rsidR="00DE2D98" w:rsidRPr="00D03F54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Шагаев В.М.</w:t>
      </w:r>
    </w:p>
    <w:p w:rsidR="00DE2D98" w:rsidRPr="00D03F54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Шагина И.А.</w:t>
      </w:r>
    </w:p>
    <w:p w:rsidR="00FE76E2" w:rsidRPr="00D03F54" w:rsidRDefault="00FE76E2" w:rsidP="00757019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D03F54">
        <w:rPr>
          <w:rFonts w:eastAsiaTheme="minorHAnsi"/>
          <w:sz w:val="27"/>
          <w:szCs w:val="27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D03F54" w:rsidRDefault="00FE76E2" w:rsidP="00757019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D03F54">
        <w:rPr>
          <w:rFonts w:eastAsiaTheme="minorHAnsi"/>
          <w:sz w:val="27"/>
          <w:szCs w:val="27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D03F54">
        <w:rPr>
          <w:rFonts w:eastAsiaTheme="minorHAnsi"/>
          <w:sz w:val="27"/>
          <w:szCs w:val="27"/>
          <w:lang w:eastAsia="en-US"/>
        </w:rPr>
        <w:t>Россети Янтарь</w:t>
      </w:r>
      <w:r w:rsidRPr="00D03F54">
        <w:rPr>
          <w:rFonts w:eastAsiaTheme="minorHAnsi"/>
          <w:sz w:val="27"/>
          <w:szCs w:val="27"/>
          <w:lang w:eastAsia="en-US"/>
        </w:rPr>
        <w:t>»). Кворум для проведения заседания Совета директоров имеется.</w:t>
      </w:r>
    </w:p>
    <w:p w:rsidR="00FE76E2" w:rsidRPr="00D03F54" w:rsidRDefault="00FE76E2" w:rsidP="00C00A0B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D03F54" w:rsidRDefault="00FE76E2" w:rsidP="00381FAC">
      <w:pPr>
        <w:ind w:firstLine="709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D03F54">
        <w:rPr>
          <w:rFonts w:eastAsiaTheme="minorHAnsi"/>
          <w:b/>
          <w:sz w:val="27"/>
          <w:szCs w:val="27"/>
          <w:lang w:eastAsia="en-US"/>
        </w:rPr>
        <w:t>Повестка дня:</w:t>
      </w:r>
    </w:p>
    <w:p w:rsidR="005F10F0" w:rsidRPr="00D03F54" w:rsidRDefault="00D03F54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7"/>
          <w:szCs w:val="27"/>
          <w:lang w:eastAsia="zh-CN" w:bidi="hi-IN"/>
        </w:rPr>
      </w:pPr>
      <w:r w:rsidRPr="00D03F54">
        <w:rPr>
          <w:sz w:val="27"/>
          <w:szCs w:val="27"/>
        </w:rPr>
        <w:t>О внесении изменений в документ, содержащий условия размещения ценных бумаг Общества.</w:t>
      </w:r>
    </w:p>
    <w:p w:rsidR="00320074" w:rsidRPr="00D03F54" w:rsidRDefault="00320074" w:rsidP="00320074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7"/>
          <w:szCs w:val="27"/>
        </w:rPr>
      </w:pPr>
    </w:p>
    <w:p w:rsidR="00C976F1" w:rsidRPr="00D03F54" w:rsidRDefault="00FE76E2" w:rsidP="00C976F1">
      <w:pPr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bookmarkStart w:id="0" w:name="_Hlk126137140"/>
      <w:r w:rsidRPr="00D03F54">
        <w:rPr>
          <w:b/>
          <w:spacing w:val="-4"/>
          <w:sz w:val="27"/>
          <w:szCs w:val="27"/>
        </w:rPr>
        <w:t>ВОПРОС № 1:</w:t>
      </w:r>
      <w:r w:rsidRPr="00D03F54">
        <w:rPr>
          <w:spacing w:val="-4"/>
          <w:sz w:val="27"/>
          <w:szCs w:val="27"/>
        </w:rPr>
        <w:t xml:space="preserve"> </w:t>
      </w:r>
      <w:r w:rsidR="00D03F54" w:rsidRPr="00D03F54">
        <w:rPr>
          <w:sz w:val="27"/>
          <w:szCs w:val="27"/>
        </w:rPr>
        <w:t>О внесении изменений в документ, содержащий условия размещения ценных бумаг Общества.</w:t>
      </w:r>
    </w:p>
    <w:p w:rsidR="00C976F1" w:rsidRPr="00D03F54" w:rsidRDefault="00C976F1" w:rsidP="00C976F1">
      <w:pPr>
        <w:tabs>
          <w:tab w:val="left" w:pos="2977"/>
        </w:tabs>
        <w:contextualSpacing/>
        <w:jc w:val="both"/>
        <w:rPr>
          <w:sz w:val="27"/>
          <w:szCs w:val="27"/>
        </w:rPr>
      </w:pPr>
    </w:p>
    <w:p w:rsidR="00FE76E2" w:rsidRPr="00D03F54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D03F54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Внести следующее изменение в Документ, содержащий условия размещения ценных бумаг Акционерного общества «Россети Янтарь» - акций обыкновенных, номинальной стоимостью 0,50 рублей каждая, с регистрационным номером дополнительного выпуска 1-01-00141-D-005D от 24.11.2022 (далее – Документ, содержащий условия размещения ценных бумаг Общества), а именно: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Раздел «Дата окончания размещения ценных бумаг или порядок определения» пункта 3 «Срок размещения ценных бумаг» Документа, содержащего условия размещения ценных бумаг Общества, изложить в следующей редакции: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lastRenderedPageBreak/>
        <w:t>«Дата окончания размещения ценных бумаг или порядок определения: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дата размещения последней ценной бумаги настоящего дополнительного выпуска, но не позднее двух лет с даты государственной регистрации настоящего дополнительного выпуска ценных бумаг».</w:t>
      </w:r>
    </w:p>
    <w:p w:rsidR="00FA2CCE" w:rsidRPr="00D03F54" w:rsidRDefault="00FA2CCE" w:rsidP="009529FB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D03F54" w:rsidRDefault="00FE76E2" w:rsidP="009529FB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D03F54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757019" w:rsidRPr="006C2A53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6C2A53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6C2A53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6C2A53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6C2A53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6C2A53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6C2A53" w:rsidRDefault="00757019" w:rsidP="00757019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6C2A53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6C2A5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6C2A5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6C2A5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6C2A53" w:rsidTr="006C2A53">
        <w:trPr>
          <w:trHeight w:val="4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6C2A5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6C2A53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6C2A5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6C2A5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6C2A5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6C2A53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6C2A53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6C2A53" w:rsidRDefault="00961B2E" w:rsidP="00961B2E">
            <w:pPr>
              <w:contextualSpacing/>
              <w:rPr>
                <w:sz w:val="26"/>
                <w:szCs w:val="26"/>
              </w:rPr>
            </w:pPr>
            <w:r w:rsidRPr="006C2A53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6C2A53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6C2A53" w:rsidRDefault="00961B2E" w:rsidP="00961B2E">
            <w:pPr>
              <w:contextualSpacing/>
              <w:rPr>
                <w:sz w:val="26"/>
                <w:szCs w:val="26"/>
              </w:rPr>
            </w:pPr>
            <w:r w:rsidRPr="006C2A53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6C2A53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6C2A53" w:rsidRDefault="00961B2E" w:rsidP="00961B2E">
            <w:pPr>
              <w:contextualSpacing/>
              <w:jc w:val="center"/>
              <w:rPr>
                <w:sz w:val="26"/>
                <w:szCs w:val="26"/>
              </w:rPr>
            </w:pPr>
            <w:r w:rsidRPr="006C2A53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6C2A53" w:rsidRDefault="00961B2E" w:rsidP="00961B2E">
            <w:pPr>
              <w:contextualSpacing/>
              <w:rPr>
                <w:sz w:val="26"/>
                <w:szCs w:val="26"/>
              </w:rPr>
            </w:pPr>
            <w:r w:rsidRPr="006C2A53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6C2A53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C2A5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935848" w:rsidRPr="00D03F54" w:rsidRDefault="0036391F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D03F54">
        <w:rPr>
          <w:rFonts w:eastAsiaTheme="minorHAnsi"/>
          <w:bCs/>
          <w:i/>
          <w:color w:val="000000"/>
          <w:sz w:val="27"/>
          <w:szCs w:val="27"/>
          <w:lang w:eastAsia="en-US"/>
        </w:rPr>
        <w:t xml:space="preserve">Решение по данному вопросу принимается большинством голосов членов Совета директоров Общества, </w:t>
      </w:r>
      <w:r w:rsidR="00D03F54" w:rsidRPr="00D03F54">
        <w:rPr>
          <w:rFonts w:eastAsiaTheme="minorHAnsi"/>
          <w:bCs/>
          <w:i/>
          <w:color w:val="000000"/>
          <w:sz w:val="27"/>
          <w:szCs w:val="27"/>
          <w:lang w:eastAsia="en-US"/>
        </w:rPr>
        <w:t>принимающих участие в заседании</w:t>
      </w:r>
      <w:r w:rsidRPr="00D03F54">
        <w:rPr>
          <w:rFonts w:eastAsiaTheme="minorHAnsi"/>
          <w:bCs/>
          <w:i/>
          <w:color w:val="000000"/>
          <w:sz w:val="27"/>
          <w:szCs w:val="27"/>
          <w:lang w:eastAsia="en-US"/>
        </w:rPr>
        <w:t>.</w:t>
      </w:r>
    </w:p>
    <w:p w:rsidR="005F10F0" w:rsidRPr="00D03F54" w:rsidRDefault="00935848" w:rsidP="005F10F0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D03F54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5F10F0" w:rsidRPr="00D03F54" w:rsidRDefault="005F10F0" w:rsidP="006C2A53">
      <w:pPr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</w:p>
    <w:p w:rsidR="00FE76E2" w:rsidRPr="00D03F54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7"/>
        </w:rPr>
      </w:pPr>
      <w:r w:rsidRPr="00D03F54">
        <w:rPr>
          <w:rFonts w:eastAsia="Calibri"/>
          <w:b/>
          <w:bCs/>
          <w:color w:val="000000"/>
          <w:sz w:val="27"/>
          <w:szCs w:val="27"/>
        </w:rPr>
        <w:t>По результатам голосования Совет директоров АО «</w:t>
      </w:r>
      <w:r w:rsidR="000131CC" w:rsidRPr="00D03F54">
        <w:rPr>
          <w:rFonts w:eastAsia="Calibri"/>
          <w:b/>
          <w:bCs/>
          <w:color w:val="000000"/>
          <w:sz w:val="27"/>
          <w:szCs w:val="27"/>
        </w:rPr>
        <w:t>Россети Янтарь</w:t>
      </w:r>
      <w:r w:rsidRPr="00D03F54">
        <w:rPr>
          <w:rFonts w:eastAsia="Calibri"/>
          <w:b/>
          <w:bCs/>
          <w:color w:val="000000"/>
          <w:sz w:val="27"/>
          <w:szCs w:val="27"/>
        </w:rPr>
        <w:t>» принял следующ</w:t>
      </w:r>
      <w:r w:rsidR="00D03F54" w:rsidRPr="00D03F54">
        <w:rPr>
          <w:rFonts w:eastAsia="Calibri"/>
          <w:b/>
          <w:bCs/>
          <w:color w:val="000000"/>
          <w:sz w:val="27"/>
          <w:szCs w:val="27"/>
        </w:rPr>
        <w:t>е</w:t>
      </w:r>
      <w:r w:rsidRPr="00D03F54">
        <w:rPr>
          <w:rFonts w:eastAsia="Calibri"/>
          <w:b/>
          <w:bCs/>
          <w:color w:val="000000"/>
          <w:sz w:val="27"/>
          <w:szCs w:val="27"/>
        </w:rPr>
        <w:t>е решени</w:t>
      </w:r>
      <w:r w:rsidR="00D03F54" w:rsidRPr="00D03F54">
        <w:rPr>
          <w:rFonts w:eastAsia="Calibri"/>
          <w:b/>
          <w:bCs/>
          <w:color w:val="000000"/>
          <w:sz w:val="27"/>
          <w:szCs w:val="27"/>
        </w:rPr>
        <w:t>е</w:t>
      </w:r>
      <w:r w:rsidRPr="00D03F54">
        <w:rPr>
          <w:rFonts w:eastAsia="Calibri"/>
          <w:b/>
          <w:bCs/>
          <w:color w:val="000000"/>
          <w:sz w:val="27"/>
          <w:szCs w:val="27"/>
        </w:rPr>
        <w:t>:</w:t>
      </w:r>
    </w:p>
    <w:p w:rsidR="00FE76E2" w:rsidRPr="00D03F54" w:rsidRDefault="00FE76E2" w:rsidP="0021062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D03F54" w:rsidRDefault="00FE76E2" w:rsidP="007565E4">
      <w:pPr>
        <w:ind w:firstLine="709"/>
        <w:contextualSpacing/>
        <w:jc w:val="both"/>
        <w:rPr>
          <w:rFonts w:eastAsia="Courier New"/>
          <w:sz w:val="27"/>
          <w:szCs w:val="27"/>
        </w:rPr>
      </w:pPr>
      <w:r w:rsidRPr="00D03F54">
        <w:rPr>
          <w:rFonts w:eastAsia="Calibri"/>
          <w:b/>
          <w:bCs/>
          <w:color w:val="000000"/>
          <w:sz w:val="27"/>
          <w:szCs w:val="27"/>
        </w:rPr>
        <w:t>По вопросу № 1 повестки дня: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Внести следующее изменение в Документ, содержащий условия размещения ценных бумаг Акционерного общества «Россети Янтарь» - акций обыкновенных, номинальной стоимостью 0,50 рублей каждая, с регистрационным номером дополнительного выпуска 1-01-00141-D-005D от 24.11.2022 (далее – Документ, содержащий условия размещения ценных бумаг Общества), а именно: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Раздел «Дата окончания размещения ценных бумаг или порядок определения» пункта 3 «Срок размещения ценных бумаг» Документа, содержащего условия размещения ценных бумаг Общества, изложить в следующей редакции: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«Дата окончания размещения ценных бумаг или порядок определения:</w:t>
      </w:r>
    </w:p>
    <w:p w:rsidR="00D03F54" w:rsidRPr="00D03F54" w:rsidRDefault="00D03F54" w:rsidP="00D03F54">
      <w:pPr>
        <w:ind w:firstLine="709"/>
        <w:jc w:val="both"/>
        <w:rPr>
          <w:sz w:val="27"/>
          <w:szCs w:val="27"/>
        </w:rPr>
      </w:pPr>
      <w:r w:rsidRPr="00D03F54">
        <w:rPr>
          <w:sz w:val="27"/>
          <w:szCs w:val="27"/>
        </w:rPr>
        <w:t>дата размещения последней ценной бумаги настоящего дополнительного выпуска, но не позднее двух лет с даты государственной регистрации настоящего дополнительного выпуска ценных бумаг».</w:t>
      </w:r>
    </w:p>
    <w:p w:rsidR="00BF4757" w:rsidRPr="00D03F54" w:rsidRDefault="00BF4757" w:rsidP="006C2A53">
      <w:pPr>
        <w:widowControl w:val="0"/>
        <w:tabs>
          <w:tab w:val="left" w:pos="0"/>
          <w:tab w:val="left" w:pos="1843"/>
        </w:tabs>
        <w:jc w:val="both"/>
        <w:rPr>
          <w:sz w:val="27"/>
          <w:szCs w:val="27"/>
        </w:rPr>
      </w:pPr>
    </w:p>
    <w:p w:rsidR="00FE76E2" w:rsidRPr="00D03F54" w:rsidRDefault="001626CD" w:rsidP="007565E4">
      <w:pPr>
        <w:ind w:firstLine="709"/>
        <w:contextualSpacing/>
        <w:jc w:val="both"/>
        <w:rPr>
          <w:rFonts w:eastAsia="NSimSun"/>
          <w:kern w:val="2"/>
          <w:sz w:val="27"/>
          <w:szCs w:val="27"/>
          <w:lang w:eastAsia="zh-CN" w:bidi="hi-IN"/>
        </w:rPr>
      </w:pPr>
      <w:r w:rsidRPr="00D03F54">
        <w:rPr>
          <w:i/>
          <w:sz w:val="27"/>
          <w:szCs w:val="27"/>
        </w:rPr>
        <w:t xml:space="preserve">Дата составления протокола </w:t>
      </w:r>
      <w:r w:rsidR="00D03F54" w:rsidRPr="00D03F54">
        <w:rPr>
          <w:i/>
          <w:sz w:val="27"/>
          <w:szCs w:val="27"/>
        </w:rPr>
        <w:t>23</w:t>
      </w:r>
      <w:r w:rsidR="00FE76E2" w:rsidRPr="00D03F54">
        <w:rPr>
          <w:i/>
          <w:sz w:val="27"/>
          <w:szCs w:val="27"/>
        </w:rPr>
        <w:t>.</w:t>
      </w:r>
      <w:r w:rsidR="00301CAC" w:rsidRPr="00D03F54">
        <w:rPr>
          <w:i/>
          <w:sz w:val="27"/>
          <w:szCs w:val="27"/>
        </w:rPr>
        <w:t>11</w:t>
      </w:r>
      <w:r w:rsidR="00FE76E2" w:rsidRPr="00D03F54">
        <w:rPr>
          <w:i/>
          <w:sz w:val="27"/>
          <w:szCs w:val="27"/>
        </w:rPr>
        <w:t>.202</w:t>
      </w:r>
      <w:r w:rsidR="00735DBA" w:rsidRPr="00D03F54">
        <w:rPr>
          <w:i/>
          <w:sz w:val="27"/>
          <w:szCs w:val="27"/>
        </w:rPr>
        <w:t>3</w:t>
      </w:r>
      <w:r w:rsidR="00FE76E2" w:rsidRPr="00D03F54">
        <w:rPr>
          <w:i/>
          <w:sz w:val="27"/>
          <w:szCs w:val="27"/>
        </w:rPr>
        <w:t>.</w:t>
      </w:r>
    </w:p>
    <w:p w:rsidR="00BD2A2B" w:rsidRPr="00D03F54" w:rsidRDefault="00BD2A2B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961B2E" w:rsidRPr="00D03F54" w:rsidRDefault="00961B2E" w:rsidP="0075701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bookmarkStart w:id="2" w:name="_GoBack"/>
      <w:bookmarkEnd w:id="2"/>
    </w:p>
    <w:p w:rsidR="001C253C" w:rsidRDefault="001C253C" w:rsidP="001C253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1C253C" w:rsidRDefault="001C253C" w:rsidP="001C253C">
      <w:pPr>
        <w:jc w:val="both"/>
        <w:rPr>
          <w:rFonts w:eastAsiaTheme="minorHAnsi"/>
          <w:sz w:val="28"/>
          <w:szCs w:val="28"/>
          <w:lang w:eastAsia="en-US"/>
        </w:rPr>
      </w:pPr>
    </w:p>
    <w:p w:rsidR="001C253C" w:rsidRDefault="001C253C" w:rsidP="001C253C">
      <w:pPr>
        <w:jc w:val="both"/>
        <w:rPr>
          <w:rFonts w:eastAsiaTheme="minorHAnsi"/>
          <w:sz w:val="28"/>
          <w:szCs w:val="28"/>
          <w:lang w:eastAsia="en-US"/>
        </w:rPr>
      </w:pPr>
    </w:p>
    <w:p w:rsidR="001C253C" w:rsidRDefault="001C253C" w:rsidP="001C253C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</w:p>
    <w:p w:rsidR="00F5766E" w:rsidRPr="00D03F54" w:rsidRDefault="00F5766E" w:rsidP="001C253C">
      <w:pPr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</w:p>
    <w:sectPr w:rsidR="00F5766E" w:rsidRPr="00D03F54" w:rsidSect="00D03F54">
      <w:footerReference w:type="default" r:id="rId9"/>
      <w:pgSz w:w="11907" w:h="16840"/>
      <w:pgMar w:top="993" w:right="850" w:bottom="709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72" w:rsidRDefault="00B45772" w:rsidP="004C638C">
      <w:r>
        <w:separator/>
      </w:r>
    </w:p>
  </w:endnote>
  <w:endnote w:type="continuationSeparator" w:id="0">
    <w:p w:rsidR="00B45772" w:rsidRDefault="00B45772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22783177"/>
      <w:docPartObj>
        <w:docPartGallery w:val="Page Numbers (Bottom of Page)"/>
        <w:docPartUnique/>
      </w:docPartObj>
    </w:sdtPr>
    <w:sdtEndPr/>
    <w:sdtContent>
      <w:p w:rsidR="00C976F1" w:rsidRPr="00E66F62" w:rsidRDefault="00C976F1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F97331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72" w:rsidRDefault="00B45772" w:rsidP="004C638C">
      <w:r>
        <w:separator/>
      </w:r>
    </w:p>
  </w:footnote>
  <w:footnote w:type="continuationSeparator" w:id="0">
    <w:p w:rsidR="00B45772" w:rsidRDefault="00B45772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68B5"/>
    <w:multiLevelType w:val="hybridMultilevel"/>
    <w:tmpl w:val="5F9A3512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F47DF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0424BAA"/>
    <w:multiLevelType w:val="hybridMultilevel"/>
    <w:tmpl w:val="287450BA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7568B7"/>
    <w:multiLevelType w:val="hybridMultilevel"/>
    <w:tmpl w:val="17F0A2E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9F4AAF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1429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361DEE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269A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BE54D2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DE6"/>
    <w:multiLevelType w:val="hybridMultilevel"/>
    <w:tmpl w:val="0CFA3878"/>
    <w:lvl w:ilvl="0" w:tplc="7472D5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996F18"/>
    <w:multiLevelType w:val="hybridMultilevel"/>
    <w:tmpl w:val="812AC8F6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F71C18"/>
    <w:multiLevelType w:val="hybridMultilevel"/>
    <w:tmpl w:val="768AFAA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BB581D"/>
    <w:multiLevelType w:val="hybridMultilevel"/>
    <w:tmpl w:val="7996CB9E"/>
    <w:lvl w:ilvl="0" w:tplc="B0EAA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EC52693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52500006"/>
    <w:multiLevelType w:val="hybridMultilevel"/>
    <w:tmpl w:val="0286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6B940D6"/>
    <w:multiLevelType w:val="hybridMultilevel"/>
    <w:tmpl w:val="DBD050A2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E43EB9"/>
    <w:multiLevelType w:val="hybridMultilevel"/>
    <w:tmpl w:val="BF049AA6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A21C76"/>
    <w:multiLevelType w:val="hybridMultilevel"/>
    <w:tmpl w:val="FDE4B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445B35"/>
    <w:multiLevelType w:val="hybridMultilevel"/>
    <w:tmpl w:val="B07E84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CC336CA"/>
    <w:multiLevelType w:val="hybridMultilevel"/>
    <w:tmpl w:val="C902E60C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393D17"/>
    <w:multiLevelType w:val="multilevel"/>
    <w:tmpl w:val="17C655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E5747DE"/>
    <w:multiLevelType w:val="hybridMultilevel"/>
    <w:tmpl w:val="B7F6CFC8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3F3241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F57239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0D2715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41"/>
  </w:num>
  <w:num w:numId="4">
    <w:abstractNumId w:val="12"/>
  </w:num>
  <w:num w:numId="5">
    <w:abstractNumId w:val="13"/>
  </w:num>
  <w:num w:numId="6">
    <w:abstractNumId w:val="16"/>
  </w:num>
  <w:num w:numId="7">
    <w:abstractNumId w:val="42"/>
  </w:num>
  <w:num w:numId="8">
    <w:abstractNumId w:val="19"/>
  </w:num>
  <w:num w:numId="9">
    <w:abstractNumId w:val="2"/>
  </w:num>
  <w:num w:numId="10">
    <w:abstractNumId w:val="5"/>
  </w:num>
  <w:num w:numId="11">
    <w:abstractNumId w:val="37"/>
  </w:num>
  <w:num w:numId="12">
    <w:abstractNumId w:val="36"/>
  </w:num>
  <w:num w:numId="13">
    <w:abstractNumId w:val="27"/>
  </w:num>
  <w:num w:numId="14">
    <w:abstractNumId w:val="10"/>
  </w:num>
  <w:num w:numId="15">
    <w:abstractNumId w:val="3"/>
  </w:num>
  <w:num w:numId="16">
    <w:abstractNumId w:val="24"/>
  </w:num>
  <w:num w:numId="17">
    <w:abstractNumId w:val="7"/>
  </w:num>
  <w:num w:numId="18">
    <w:abstractNumId w:val="0"/>
  </w:num>
  <w:num w:numId="19">
    <w:abstractNumId w:val="30"/>
  </w:num>
  <w:num w:numId="20">
    <w:abstractNumId w:val="29"/>
  </w:num>
  <w:num w:numId="21">
    <w:abstractNumId w:val="21"/>
  </w:num>
  <w:num w:numId="22">
    <w:abstractNumId w:val="8"/>
  </w:num>
  <w:num w:numId="23">
    <w:abstractNumId w:val="1"/>
  </w:num>
  <w:num w:numId="24">
    <w:abstractNumId w:val="9"/>
  </w:num>
  <w:num w:numId="25">
    <w:abstractNumId w:val="34"/>
  </w:num>
  <w:num w:numId="26">
    <w:abstractNumId w:val="28"/>
  </w:num>
  <w:num w:numId="27">
    <w:abstractNumId w:val="32"/>
  </w:num>
  <w:num w:numId="28">
    <w:abstractNumId w:val="22"/>
  </w:num>
  <w:num w:numId="29">
    <w:abstractNumId w:val="26"/>
  </w:num>
  <w:num w:numId="30">
    <w:abstractNumId w:val="35"/>
  </w:num>
  <w:num w:numId="31">
    <w:abstractNumId w:val="38"/>
  </w:num>
  <w:num w:numId="32">
    <w:abstractNumId w:val="17"/>
  </w:num>
  <w:num w:numId="33">
    <w:abstractNumId w:val="18"/>
  </w:num>
  <w:num w:numId="34">
    <w:abstractNumId w:val="25"/>
  </w:num>
  <w:num w:numId="35">
    <w:abstractNumId w:val="40"/>
  </w:num>
  <w:num w:numId="36">
    <w:abstractNumId w:val="14"/>
  </w:num>
  <w:num w:numId="37">
    <w:abstractNumId w:val="4"/>
  </w:num>
  <w:num w:numId="38">
    <w:abstractNumId w:val="31"/>
  </w:num>
  <w:num w:numId="39">
    <w:abstractNumId w:val="20"/>
  </w:num>
  <w:num w:numId="40">
    <w:abstractNumId w:val="11"/>
  </w:num>
  <w:num w:numId="41">
    <w:abstractNumId w:val="15"/>
  </w:num>
  <w:num w:numId="42">
    <w:abstractNumId w:val="33"/>
  </w:num>
  <w:num w:numId="4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236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470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53C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38E7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1F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2A53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772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3F54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07827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331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3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semiHidden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234E-A264-480B-8AAF-CAA0B600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9</cp:revision>
  <cp:lastPrinted>2023-07-26T08:53:00Z</cp:lastPrinted>
  <dcterms:created xsi:type="dcterms:W3CDTF">2023-11-08T13:15:00Z</dcterms:created>
  <dcterms:modified xsi:type="dcterms:W3CDTF">2023-12-12T12:06:00Z</dcterms:modified>
</cp:coreProperties>
</file>