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206E91" w:rsidRDefault="00A16A29" w:rsidP="00206E91">
      <w:pPr>
        <w:ind w:left="1276"/>
        <w:contextualSpacing/>
        <w:jc w:val="right"/>
        <w:rPr>
          <w:color w:val="000000"/>
          <w:sz w:val="28"/>
          <w:szCs w:val="28"/>
        </w:rPr>
      </w:pPr>
      <w:r w:rsidRPr="00206E91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E91">
        <w:rPr>
          <w:color w:val="000000"/>
          <w:sz w:val="28"/>
          <w:szCs w:val="28"/>
        </w:rPr>
        <w:t>Акционерное общество</w:t>
      </w:r>
    </w:p>
    <w:p w:rsidR="00A16A29" w:rsidRPr="00206E91" w:rsidRDefault="00A16A29" w:rsidP="00206E91">
      <w:pPr>
        <w:ind w:left="1276"/>
        <w:contextualSpacing/>
        <w:jc w:val="right"/>
        <w:rPr>
          <w:color w:val="000000"/>
          <w:sz w:val="28"/>
          <w:szCs w:val="28"/>
        </w:rPr>
      </w:pPr>
      <w:r w:rsidRPr="00206E91">
        <w:rPr>
          <w:color w:val="000000"/>
          <w:sz w:val="28"/>
          <w:szCs w:val="28"/>
        </w:rPr>
        <w:t>«Россети Янтарь»</w:t>
      </w:r>
    </w:p>
    <w:p w:rsidR="006063CD" w:rsidRPr="00206E91" w:rsidRDefault="006063CD" w:rsidP="00206E91">
      <w:pPr>
        <w:contextualSpacing/>
        <w:rPr>
          <w:sz w:val="28"/>
          <w:szCs w:val="28"/>
        </w:rPr>
      </w:pPr>
    </w:p>
    <w:p w:rsidR="00A16A29" w:rsidRPr="00206E91" w:rsidRDefault="00A16A29" w:rsidP="00206E91">
      <w:pPr>
        <w:contextualSpacing/>
        <w:rPr>
          <w:rFonts w:eastAsia="NSimSun"/>
          <w:kern w:val="2"/>
          <w:sz w:val="28"/>
          <w:szCs w:val="28"/>
          <w:lang w:eastAsia="zh-CN" w:bidi="hi-IN"/>
        </w:rPr>
      </w:pPr>
    </w:p>
    <w:p w:rsidR="00FE76E2" w:rsidRPr="00206E91" w:rsidRDefault="00FE76E2" w:rsidP="00206E91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206E91" w:rsidRDefault="00FE76E2" w:rsidP="00206E91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206E91">
        <w:rPr>
          <w:rFonts w:eastAsiaTheme="minorHAnsi"/>
          <w:sz w:val="28"/>
          <w:szCs w:val="28"/>
          <w:lang w:eastAsia="en-US"/>
        </w:rPr>
        <w:t>Россети Янтарь</w:t>
      </w:r>
      <w:r w:rsidRPr="00206E91">
        <w:rPr>
          <w:rFonts w:eastAsiaTheme="minorHAnsi"/>
          <w:sz w:val="28"/>
          <w:szCs w:val="28"/>
          <w:lang w:eastAsia="en-US"/>
        </w:rPr>
        <w:t>»</w:t>
      </w:r>
    </w:p>
    <w:p w:rsidR="00FE76E2" w:rsidRPr="00206E91" w:rsidRDefault="00FE76E2" w:rsidP="00206E91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206E91" w:rsidRDefault="008A7BB5" w:rsidP="00206E91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bCs/>
          <w:sz w:val="28"/>
          <w:szCs w:val="28"/>
          <w:lang w:eastAsia="en-US"/>
        </w:rPr>
        <w:t>0</w:t>
      </w:r>
      <w:r w:rsidR="00CF1E3D" w:rsidRPr="00206E91">
        <w:rPr>
          <w:rFonts w:eastAsiaTheme="minorHAnsi"/>
          <w:bCs/>
          <w:sz w:val="28"/>
          <w:szCs w:val="28"/>
          <w:lang w:eastAsia="en-US"/>
        </w:rPr>
        <w:t>4</w:t>
      </w:r>
      <w:r w:rsidR="00F63A5E" w:rsidRPr="00206E91">
        <w:rPr>
          <w:rFonts w:eastAsiaTheme="minorHAnsi"/>
          <w:bCs/>
          <w:sz w:val="28"/>
          <w:szCs w:val="28"/>
          <w:lang w:eastAsia="en-US"/>
        </w:rPr>
        <w:t>.</w:t>
      </w:r>
      <w:r w:rsidR="00FD66BC" w:rsidRPr="00206E91">
        <w:rPr>
          <w:rFonts w:eastAsiaTheme="minorHAnsi"/>
          <w:bCs/>
          <w:sz w:val="28"/>
          <w:szCs w:val="28"/>
          <w:lang w:eastAsia="en-US"/>
        </w:rPr>
        <w:t>0</w:t>
      </w:r>
      <w:r w:rsidRPr="00206E91">
        <w:rPr>
          <w:rFonts w:eastAsiaTheme="minorHAnsi"/>
          <w:bCs/>
          <w:sz w:val="28"/>
          <w:szCs w:val="28"/>
          <w:lang w:eastAsia="en-US"/>
        </w:rPr>
        <w:t>5</w:t>
      </w:r>
      <w:r w:rsidR="00FE76E2" w:rsidRPr="00206E91">
        <w:rPr>
          <w:rFonts w:eastAsiaTheme="minorHAnsi"/>
          <w:bCs/>
          <w:sz w:val="28"/>
          <w:szCs w:val="28"/>
          <w:lang w:eastAsia="en-US"/>
        </w:rPr>
        <w:t>.202</w:t>
      </w:r>
      <w:r w:rsidR="00FD66BC" w:rsidRPr="00206E91">
        <w:rPr>
          <w:rFonts w:eastAsiaTheme="minorHAnsi"/>
          <w:bCs/>
          <w:sz w:val="28"/>
          <w:szCs w:val="28"/>
          <w:lang w:eastAsia="en-US"/>
        </w:rPr>
        <w:t>3</w:t>
      </w:r>
      <w:r w:rsidR="00FE76E2" w:rsidRPr="00206E91">
        <w:rPr>
          <w:rFonts w:eastAsiaTheme="minorHAnsi"/>
          <w:bCs/>
          <w:sz w:val="28"/>
          <w:szCs w:val="28"/>
          <w:lang w:eastAsia="en-US"/>
        </w:rPr>
        <w:tab/>
      </w:r>
      <w:r w:rsidR="00FE76E2" w:rsidRPr="00206E91">
        <w:rPr>
          <w:rFonts w:eastAsiaTheme="minorHAnsi"/>
          <w:bCs/>
          <w:sz w:val="28"/>
          <w:szCs w:val="28"/>
          <w:lang w:eastAsia="en-US"/>
        </w:rPr>
        <w:tab/>
      </w:r>
      <w:r w:rsidR="00FE76E2" w:rsidRPr="00206E91">
        <w:rPr>
          <w:rFonts w:eastAsiaTheme="minorHAnsi"/>
          <w:bCs/>
          <w:sz w:val="28"/>
          <w:szCs w:val="28"/>
          <w:lang w:eastAsia="en-US"/>
        </w:rPr>
        <w:tab/>
      </w:r>
      <w:r w:rsidR="00FE76E2" w:rsidRPr="00206E91">
        <w:rPr>
          <w:rFonts w:eastAsiaTheme="minorHAnsi"/>
          <w:bCs/>
          <w:sz w:val="28"/>
          <w:szCs w:val="28"/>
          <w:lang w:eastAsia="en-US"/>
        </w:rPr>
        <w:tab/>
      </w:r>
      <w:r w:rsidR="00C54022" w:rsidRPr="00206E91">
        <w:rPr>
          <w:rFonts w:eastAsiaTheme="minorHAnsi"/>
          <w:bCs/>
          <w:sz w:val="28"/>
          <w:szCs w:val="28"/>
          <w:lang w:eastAsia="en-US"/>
        </w:rPr>
        <w:tab/>
      </w:r>
      <w:r w:rsidR="00FE76E2" w:rsidRPr="00206E91">
        <w:rPr>
          <w:rFonts w:eastAsiaTheme="minorHAnsi"/>
          <w:bCs/>
          <w:sz w:val="28"/>
          <w:szCs w:val="28"/>
          <w:lang w:eastAsia="en-US"/>
        </w:rPr>
        <w:tab/>
      </w:r>
      <w:r w:rsidR="00757019" w:rsidRPr="00206E91">
        <w:rPr>
          <w:rFonts w:eastAsiaTheme="minorHAnsi"/>
          <w:bCs/>
          <w:sz w:val="28"/>
          <w:szCs w:val="28"/>
          <w:lang w:eastAsia="en-US"/>
        </w:rPr>
        <w:tab/>
      </w:r>
      <w:r w:rsidR="00875184" w:rsidRPr="00206E91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FE76E2" w:rsidRPr="00206E91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54673D" w:rsidRPr="00206E91">
        <w:rPr>
          <w:rFonts w:eastAsiaTheme="minorHAnsi"/>
          <w:bCs/>
          <w:sz w:val="28"/>
          <w:szCs w:val="28"/>
          <w:lang w:eastAsia="en-US"/>
        </w:rPr>
        <w:t>2</w:t>
      </w:r>
      <w:r w:rsidRPr="00206E91">
        <w:rPr>
          <w:rFonts w:eastAsiaTheme="minorHAnsi"/>
          <w:bCs/>
          <w:sz w:val="28"/>
          <w:szCs w:val="28"/>
          <w:lang w:eastAsia="en-US"/>
        </w:rPr>
        <w:t>6</w:t>
      </w:r>
    </w:p>
    <w:p w:rsidR="00FE76E2" w:rsidRPr="00206E91" w:rsidRDefault="00FE76E2" w:rsidP="00206E91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206E91" w:rsidRDefault="00FE76E2" w:rsidP="00206E91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206E91" w:rsidRDefault="00FE76E2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206E91">
        <w:rPr>
          <w:rFonts w:eastAsiaTheme="minorHAnsi"/>
          <w:sz w:val="28"/>
          <w:szCs w:val="28"/>
          <w:lang w:eastAsia="en-US"/>
        </w:rPr>
        <w:t>Россети Янтарь</w:t>
      </w:r>
      <w:r w:rsidRPr="00206E91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A303E8" w:rsidRPr="00206E91" w:rsidRDefault="00FE76E2" w:rsidP="00206E91">
      <w:pPr>
        <w:contextualSpacing/>
        <w:jc w:val="both"/>
        <w:rPr>
          <w:sz w:val="28"/>
          <w:szCs w:val="28"/>
        </w:rPr>
      </w:pPr>
      <w:r w:rsidRPr="00206E91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206E91">
        <w:rPr>
          <w:sz w:val="28"/>
          <w:szCs w:val="28"/>
        </w:rPr>
        <w:t>Полинов А.А.</w:t>
      </w:r>
    </w:p>
    <w:p w:rsidR="00FE76E2" w:rsidRPr="00206E91" w:rsidRDefault="00FE76E2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206E91" w:rsidRDefault="00FE76E2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206E91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206E91">
        <w:rPr>
          <w:rFonts w:eastAsiaTheme="minorHAnsi"/>
          <w:sz w:val="28"/>
          <w:szCs w:val="28"/>
          <w:lang w:eastAsia="en-US"/>
        </w:rPr>
        <w:t>:</w:t>
      </w:r>
    </w:p>
    <w:p w:rsidR="00FE76E2" w:rsidRPr="00206E91" w:rsidRDefault="00FE76E2" w:rsidP="00206E9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06E91">
        <w:rPr>
          <w:sz w:val="28"/>
          <w:szCs w:val="28"/>
        </w:rPr>
        <w:t>Полинов А.А.</w:t>
      </w:r>
    </w:p>
    <w:p w:rsidR="00DE2D98" w:rsidRPr="00206E91" w:rsidRDefault="00DE2D98" w:rsidP="00206E9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E91">
        <w:rPr>
          <w:sz w:val="28"/>
          <w:szCs w:val="28"/>
        </w:rPr>
        <w:t>Гончаров Ю.В.</w:t>
      </w:r>
    </w:p>
    <w:p w:rsidR="00DE2D98" w:rsidRPr="00206E91" w:rsidRDefault="00DE2D98" w:rsidP="00206E9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E91">
        <w:rPr>
          <w:sz w:val="28"/>
          <w:szCs w:val="28"/>
        </w:rPr>
        <w:t>Калоева М.В.</w:t>
      </w:r>
    </w:p>
    <w:p w:rsidR="00DE2D98" w:rsidRPr="00206E91" w:rsidRDefault="00DE2D98" w:rsidP="00206E9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E91">
        <w:rPr>
          <w:sz w:val="28"/>
          <w:szCs w:val="28"/>
        </w:rPr>
        <w:t>Краинский Д.В.</w:t>
      </w:r>
    </w:p>
    <w:p w:rsidR="00DE2D98" w:rsidRPr="00206E91" w:rsidRDefault="00DE2D98" w:rsidP="00206E9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E91">
        <w:rPr>
          <w:sz w:val="28"/>
          <w:szCs w:val="28"/>
        </w:rPr>
        <w:t>Михеев Д.Д.</w:t>
      </w:r>
    </w:p>
    <w:p w:rsidR="00DE2D98" w:rsidRPr="00206E91" w:rsidRDefault="00DE2D98" w:rsidP="00206E9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E91">
        <w:rPr>
          <w:sz w:val="28"/>
          <w:szCs w:val="28"/>
        </w:rPr>
        <w:t>Парамонова Н.В.</w:t>
      </w:r>
    </w:p>
    <w:p w:rsidR="00DE2D98" w:rsidRPr="00206E91" w:rsidRDefault="00DE2D98" w:rsidP="00206E9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E91">
        <w:rPr>
          <w:sz w:val="28"/>
          <w:szCs w:val="28"/>
        </w:rPr>
        <w:t>Пидник А.Ю.</w:t>
      </w:r>
    </w:p>
    <w:p w:rsidR="00FE76E2" w:rsidRPr="00206E91" w:rsidRDefault="00FE76E2" w:rsidP="00206E9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206E91" w:rsidRDefault="00FE76E2" w:rsidP="00206E9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206E91">
        <w:rPr>
          <w:rFonts w:eastAsiaTheme="minorHAnsi"/>
          <w:sz w:val="28"/>
          <w:szCs w:val="28"/>
          <w:lang w:eastAsia="en-US"/>
        </w:rPr>
        <w:t>Россети Янтарь</w:t>
      </w:r>
      <w:r w:rsidRPr="00206E91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206E91" w:rsidRDefault="00FE76E2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06E91" w:rsidRDefault="00FE76E2" w:rsidP="00206E91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A303E8" w:rsidRPr="00206E91" w:rsidRDefault="008A7BB5" w:rsidP="00206E91">
      <w:pPr>
        <w:pStyle w:val="a7"/>
        <w:numPr>
          <w:ilvl w:val="0"/>
          <w:numId w:val="9"/>
        </w:numPr>
        <w:ind w:left="0" w:firstLine="709"/>
        <w:jc w:val="both"/>
        <w:rPr>
          <w:rFonts w:eastAsia="Calibri"/>
          <w:sz w:val="28"/>
          <w:szCs w:val="28"/>
        </w:rPr>
      </w:pPr>
      <w:bookmarkStart w:id="0" w:name="_Hlk130212182"/>
      <w:r w:rsidRPr="00206E91">
        <w:rPr>
          <w:rFonts w:eastAsia="Calibri"/>
          <w:sz w:val="28"/>
          <w:szCs w:val="28"/>
        </w:rPr>
        <w:t>Об определении позиции АО «Россети Янтарь» (представителей АО «Россети Янтарь») по вопросу повестки дня заседания Совета директоров АО «Калининградская генерирующая компания»: «Об утверждении отчета о выполнении ключевых показателей эффективности (КПЭ) Генерального директора АО «Калининградская генерирующая компания» за 2021 год».</w:t>
      </w:r>
    </w:p>
    <w:bookmarkEnd w:id="0"/>
    <w:p w:rsidR="008A7BB5" w:rsidRPr="00206E91" w:rsidRDefault="008A7BB5" w:rsidP="00206E91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06E91">
        <w:rPr>
          <w:spacing w:val="-4"/>
          <w:sz w:val="28"/>
          <w:szCs w:val="28"/>
        </w:rPr>
        <w:t>Об утверждении Программы мероприятий по снижению потерь электрической энергии в сетевом комплексе АО «Россети Янтарь» на 2023-2027</w:t>
      </w:r>
      <w:r w:rsidR="00206E91" w:rsidRPr="00206E91">
        <w:rPr>
          <w:spacing w:val="-4"/>
          <w:sz w:val="28"/>
          <w:szCs w:val="28"/>
        </w:rPr>
        <w:t> </w:t>
      </w:r>
      <w:r w:rsidRPr="00206E91">
        <w:rPr>
          <w:spacing w:val="-4"/>
          <w:sz w:val="28"/>
          <w:szCs w:val="28"/>
        </w:rPr>
        <w:t>гг.</w:t>
      </w:r>
    </w:p>
    <w:p w:rsidR="00CF1E3D" w:rsidRPr="00206E91" w:rsidRDefault="008A7BB5" w:rsidP="00206E91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06E91">
        <w:rPr>
          <w:spacing w:val="-4"/>
          <w:sz w:val="28"/>
          <w:szCs w:val="28"/>
        </w:rPr>
        <w:t>Об утверждении кандидатуры страховой организации для заключения договора страхования Общества.</w:t>
      </w:r>
    </w:p>
    <w:p w:rsidR="00CF1E3D" w:rsidRPr="00206E91" w:rsidRDefault="008A7BB5" w:rsidP="00206E91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06E91">
        <w:rPr>
          <w:sz w:val="28"/>
          <w:szCs w:val="28"/>
        </w:rPr>
        <w:t>О предварительном одобрении сделки, связанной с отчуждением имущества, составляющего основные средства, относящиеся к недвижимому имуществу, объектов незавершенного строительства, целью использования которых не является производство, передача, диспетчирование, распределение электрической и тепловой энергии.</w:t>
      </w:r>
    </w:p>
    <w:p w:rsidR="00A74749" w:rsidRPr="00206E91" w:rsidRDefault="008A7BB5" w:rsidP="00206E91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206E91">
        <w:rPr>
          <w:spacing w:val="-4"/>
          <w:sz w:val="28"/>
          <w:szCs w:val="28"/>
        </w:rPr>
        <w:t>Об утверждении Плана развития Общества.</w:t>
      </w:r>
    </w:p>
    <w:p w:rsidR="00210629" w:rsidRPr="00206E91" w:rsidRDefault="00210629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303E8" w:rsidRPr="00206E91" w:rsidRDefault="00FE76E2" w:rsidP="00206E91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bookmarkStart w:id="1" w:name="_Hlk126137140"/>
      <w:r w:rsidRPr="00206E91">
        <w:rPr>
          <w:b/>
          <w:spacing w:val="-4"/>
          <w:sz w:val="28"/>
          <w:szCs w:val="28"/>
        </w:rPr>
        <w:lastRenderedPageBreak/>
        <w:t>ВОПРОС № 1:</w:t>
      </w:r>
      <w:r w:rsidRPr="00206E91">
        <w:rPr>
          <w:spacing w:val="-4"/>
          <w:sz w:val="28"/>
          <w:szCs w:val="28"/>
        </w:rPr>
        <w:t xml:space="preserve"> </w:t>
      </w:r>
      <w:r w:rsidR="008A7BB5" w:rsidRPr="00206E91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определении позиции АО «Россети Янтарь» (представителей АО «Россети Янтарь») по вопросу повестки дня заседания Совета директоров АО «Калининградская генерирующая компания»: «Об утверждении отчета о выполнении ключевых показателей эффективности (КПЭ) Генерального директора АО «Калининградская генерирующая компания» за 2021 год».</w:t>
      </w:r>
    </w:p>
    <w:p w:rsidR="00E50715" w:rsidRPr="00206E91" w:rsidRDefault="00E50715" w:rsidP="00206E91">
      <w:pPr>
        <w:keepNext/>
        <w:keepLines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06E91" w:rsidRDefault="00FE76E2" w:rsidP="00206E91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8A7BB5" w:rsidRPr="00206E91" w:rsidRDefault="008A7BB5" w:rsidP="00206E91">
      <w:pPr>
        <w:ind w:firstLine="709"/>
        <w:contextualSpacing/>
        <w:jc w:val="both"/>
        <w:rPr>
          <w:sz w:val="28"/>
          <w:szCs w:val="28"/>
        </w:rPr>
      </w:pPr>
      <w:r w:rsidRPr="00206E91">
        <w:rPr>
          <w:sz w:val="28"/>
          <w:szCs w:val="28"/>
        </w:rPr>
        <w:t>Поручить представителям АО «Россети Янтарь» в Совете директоров АО «Калининградская генерирующая компания» по вопросу «Об утверждении отчета о выполнении ключевых показателей эффективности (КПЭ) Генерального директора АО «Калининградская генерирующая компания» за 2021 год» голосовать «ЗА» принятие следующего решения:</w:t>
      </w:r>
    </w:p>
    <w:p w:rsidR="00CF1E3D" w:rsidRPr="00206E91" w:rsidRDefault="008A7BB5" w:rsidP="00206E91">
      <w:pPr>
        <w:ind w:firstLine="709"/>
        <w:contextualSpacing/>
        <w:jc w:val="both"/>
        <w:rPr>
          <w:sz w:val="28"/>
          <w:szCs w:val="28"/>
        </w:rPr>
      </w:pPr>
      <w:r w:rsidRPr="00206E91">
        <w:rPr>
          <w:sz w:val="28"/>
          <w:szCs w:val="28"/>
        </w:rPr>
        <w:t>Утвердить отчет о выполнении ключевых показателей эффективности (КПЭ) Генерального директора АО «Калининградская генерирующая компания» за 2021 год согласно приложению к настоящему решению Совета директоров.</w:t>
      </w:r>
    </w:p>
    <w:p w:rsidR="008A7BB5" w:rsidRPr="00206E91" w:rsidRDefault="008A7BB5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06E91" w:rsidRDefault="00FE76E2" w:rsidP="00206E91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06E91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9"/>
        <w:gridCol w:w="4365"/>
        <w:gridCol w:w="877"/>
        <w:gridCol w:w="1371"/>
        <w:gridCol w:w="1996"/>
      </w:tblGrid>
      <w:tr w:rsidR="00757019" w:rsidRPr="00206E91" w:rsidTr="008700A6">
        <w:trPr>
          <w:tblHeader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06E91" w:rsidRDefault="00757019" w:rsidP="00206E9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3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06E91" w:rsidRDefault="00757019" w:rsidP="00206E9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757019" w:rsidRPr="00206E91" w:rsidRDefault="00757019" w:rsidP="00206E9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3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06E91" w:rsidRDefault="00757019" w:rsidP="00206E91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757019" w:rsidRPr="00206E91" w:rsidTr="008700A6">
        <w:trPr>
          <w:tblHeader/>
        </w:trPr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06E91" w:rsidRDefault="00757019" w:rsidP="00206E91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206E91" w:rsidRDefault="00757019" w:rsidP="00206E9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206E91" w:rsidRDefault="00757019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06E91" w:rsidRDefault="00757019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206E91" w:rsidRDefault="00757019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FE76E2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06E91" w:rsidRDefault="00FE76E2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206E91" w:rsidRDefault="00647CD3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Гончаров Юрий Владимирович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525234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06E91" w:rsidRDefault="00AA7DA9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5234" w:rsidRPr="00206E91" w:rsidRDefault="00525234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06E91" w:rsidRDefault="00AA7DA9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06E91" w:rsidRDefault="009406DD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234" w:rsidRPr="00206E91" w:rsidRDefault="009406DD" w:rsidP="00206E91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06E91" w:rsidRDefault="00AA7DA9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  <w:r w:rsidR="00FE76E2"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76E2" w:rsidRPr="00206E91" w:rsidRDefault="00FE76E2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Краинский Даниил Владимирович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06E91" w:rsidRDefault="00AA7DA9" w:rsidP="00206E9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206E91">
              <w:rPr>
                <w:sz w:val="26"/>
                <w:szCs w:val="26"/>
              </w:rPr>
              <w:t>5</w:t>
            </w:r>
            <w:r w:rsidR="00FE76E2" w:rsidRPr="00206E91">
              <w:rPr>
                <w:sz w:val="26"/>
                <w:szCs w:val="26"/>
              </w:rPr>
              <w:t>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06E91" w:rsidRDefault="00FE76E2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Михеев Дмитрий Дмитриевич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FE76E2" w:rsidRPr="00206E91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206E91">
              <w:rPr>
                <w:sz w:val="26"/>
                <w:szCs w:val="26"/>
              </w:rPr>
              <w:t>6.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76E2" w:rsidRPr="00206E91" w:rsidRDefault="00FE76E2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Парамонова Наталья Владимировна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2" w:rsidRPr="00206E91" w:rsidRDefault="00FE76E2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AA7DA9" w:rsidRPr="00206E91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06E91" w:rsidRDefault="00AA7DA9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7.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DA9" w:rsidRPr="00206E91" w:rsidRDefault="00AA7DA9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Пидник Артём Юрьевич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06E91" w:rsidRDefault="00AA7DA9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06E91" w:rsidRDefault="00AA7DA9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DA9" w:rsidRPr="00206E91" w:rsidRDefault="00AA7DA9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bookmarkEnd w:id="1"/>
    <w:p w:rsidR="00D76419" w:rsidRPr="00206E91" w:rsidRDefault="003861D4" w:rsidP="00206E91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06E91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EF2FC8" w:rsidRPr="00206E91" w:rsidRDefault="00935848" w:rsidP="00206E91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06E91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206E91" w:rsidRDefault="00935848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F1E3D" w:rsidRPr="00206E91" w:rsidRDefault="00EF2FC8" w:rsidP="00206E91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06E91">
        <w:rPr>
          <w:b/>
          <w:spacing w:val="-4"/>
          <w:sz w:val="28"/>
          <w:szCs w:val="28"/>
        </w:rPr>
        <w:t>ВОПРОС № 2:</w:t>
      </w:r>
      <w:r w:rsidRPr="00206E91">
        <w:rPr>
          <w:spacing w:val="-4"/>
          <w:sz w:val="28"/>
          <w:szCs w:val="28"/>
        </w:rPr>
        <w:t xml:space="preserve"> </w:t>
      </w:r>
      <w:r w:rsidR="008A7BB5" w:rsidRPr="00206E91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Программы мероприятий по снижению потерь электрической энергии в сетевом комплексе АО «Россети Янтарь» на 2023-2027 гг.</w:t>
      </w:r>
    </w:p>
    <w:p w:rsidR="008A7BB5" w:rsidRPr="00206E91" w:rsidRDefault="008A7BB5" w:rsidP="00206E91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06E91" w:rsidRDefault="00EF2FC8" w:rsidP="00206E91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CF1E3D" w:rsidRPr="00206E91" w:rsidRDefault="008A7BB5" w:rsidP="00206E91">
      <w:pPr>
        <w:ind w:firstLine="709"/>
        <w:contextualSpacing/>
        <w:jc w:val="both"/>
        <w:rPr>
          <w:sz w:val="28"/>
          <w:szCs w:val="28"/>
        </w:rPr>
      </w:pPr>
      <w:r w:rsidRPr="00206E91">
        <w:rPr>
          <w:sz w:val="28"/>
          <w:szCs w:val="28"/>
        </w:rPr>
        <w:t>Утвердить Программу мероприятий по снижению потерь электрической энергии в сетевом комплексе АО «Россети Янтарь»</w:t>
      </w:r>
      <w:r w:rsidRPr="00206E91">
        <w:rPr>
          <w:sz w:val="28"/>
          <w:szCs w:val="28"/>
        </w:rPr>
        <w:br/>
        <w:t>на 2023-2027 гг. согласно приложению к настоящему решению.</w:t>
      </w:r>
    </w:p>
    <w:p w:rsidR="008A7BB5" w:rsidRPr="00206E91" w:rsidRDefault="008A7BB5" w:rsidP="00206E9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06E91" w:rsidRDefault="00EF2FC8" w:rsidP="00206E91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06E91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9"/>
        <w:gridCol w:w="4365"/>
        <w:gridCol w:w="877"/>
        <w:gridCol w:w="1371"/>
        <w:gridCol w:w="1996"/>
      </w:tblGrid>
      <w:tr w:rsidR="00EF2FC8" w:rsidRPr="00206E91" w:rsidTr="008700A6">
        <w:trPr>
          <w:tblHeader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3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EF2FC8" w:rsidRPr="00206E91" w:rsidRDefault="00EF2FC8" w:rsidP="00206E9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3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EF2FC8" w:rsidRPr="00206E91" w:rsidTr="008700A6">
        <w:trPr>
          <w:tblHeader/>
        </w:trPr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6E91" w:rsidRDefault="00EF2FC8" w:rsidP="00206E91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6E91" w:rsidRDefault="00EF2FC8" w:rsidP="00206E9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206E91" w:rsidRDefault="00EF2FC8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Гончаров Юрий Владимирович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Краинский Даниил Владимирович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206E91">
              <w:rPr>
                <w:sz w:val="26"/>
                <w:szCs w:val="26"/>
              </w:rPr>
              <w:t>5.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Михеев Дмитрий Дмитриевич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206E91">
              <w:rPr>
                <w:sz w:val="26"/>
                <w:szCs w:val="26"/>
              </w:rPr>
              <w:t>6.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Парамонова Наталья Владимировна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6E91" w:rsidRDefault="00EF2FC8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7.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6E91" w:rsidRDefault="00EF2FC8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Пидник Артём Юрьевич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935848" w:rsidRPr="00206E91" w:rsidRDefault="00DE46B3" w:rsidP="00206E91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06E91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206E91" w:rsidRDefault="00935848" w:rsidP="00206E91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06E91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206E91" w:rsidRDefault="00BB568B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700A6" w:rsidRPr="00206E91" w:rsidRDefault="00EF2FC8" w:rsidP="00206E91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06E91">
        <w:rPr>
          <w:b/>
          <w:spacing w:val="-4"/>
          <w:sz w:val="28"/>
          <w:szCs w:val="28"/>
        </w:rPr>
        <w:t>ВОПРОС № 3:</w:t>
      </w:r>
      <w:r w:rsidRPr="00206E91">
        <w:rPr>
          <w:spacing w:val="-4"/>
          <w:sz w:val="28"/>
          <w:szCs w:val="28"/>
        </w:rPr>
        <w:t xml:space="preserve"> </w:t>
      </w:r>
      <w:r w:rsidR="008A7BB5" w:rsidRPr="00206E91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кандидатуры страховой организации для заключения договора страхования Общества.</w:t>
      </w:r>
    </w:p>
    <w:p w:rsidR="008A7BB5" w:rsidRPr="00206E91" w:rsidRDefault="008A7BB5" w:rsidP="00206E91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06E91" w:rsidRDefault="00EF2FC8" w:rsidP="00206E91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8A7BB5" w:rsidRPr="00206E91" w:rsidRDefault="008A7BB5" w:rsidP="00206E9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Утвердить в качестве страховщиков АО «Россети Янтарь» следующие страховые компании: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9"/>
        <w:gridCol w:w="2800"/>
        <w:gridCol w:w="2635"/>
      </w:tblGrid>
      <w:tr w:rsidR="008A7BB5" w:rsidRPr="00206E91" w:rsidTr="008A7BB5">
        <w:trPr>
          <w:cantSplit/>
          <w:trHeight w:val="256"/>
        </w:trPr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B5" w:rsidRPr="00206E91" w:rsidRDefault="008A7BB5" w:rsidP="00206E91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206E91">
              <w:rPr>
                <w:b/>
                <w:iCs/>
                <w:sz w:val="26"/>
                <w:szCs w:val="26"/>
              </w:rPr>
              <w:t>Вид страхования</w:t>
            </w:r>
          </w:p>
        </w:tc>
        <w:tc>
          <w:tcPr>
            <w:tcW w:w="1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B5" w:rsidRPr="00206E91" w:rsidRDefault="008A7BB5" w:rsidP="00206E91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206E91">
              <w:rPr>
                <w:b/>
                <w:iCs/>
                <w:sz w:val="26"/>
                <w:szCs w:val="26"/>
              </w:rPr>
              <w:t>Страховая компания</w:t>
            </w:r>
          </w:p>
        </w:tc>
        <w:tc>
          <w:tcPr>
            <w:tcW w:w="14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B5" w:rsidRPr="00206E91" w:rsidRDefault="008A7BB5" w:rsidP="00206E91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206E91">
              <w:rPr>
                <w:b/>
                <w:iCs/>
                <w:sz w:val="26"/>
                <w:szCs w:val="26"/>
              </w:rPr>
              <w:t xml:space="preserve">Период страхования </w:t>
            </w:r>
          </w:p>
          <w:p w:rsidR="008A7BB5" w:rsidRPr="00206E91" w:rsidRDefault="008A7BB5" w:rsidP="00206E91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206E91">
              <w:rPr>
                <w:b/>
                <w:iCs/>
                <w:sz w:val="26"/>
                <w:szCs w:val="26"/>
              </w:rPr>
              <w:t xml:space="preserve">(период выдачи полисов) </w:t>
            </w:r>
          </w:p>
        </w:tc>
      </w:tr>
      <w:tr w:rsidR="008A7BB5" w:rsidRPr="00206E91" w:rsidTr="008A7BB5">
        <w:trPr>
          <w:cantSplit/>
          <w:trHeight w:val="804"/>
        </w:trPr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B5" w:rsidRPr="00206E91" w:rsidRDefault="008A7BB5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1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B5" w:rsidRPr="00206E91" w:rsidRDefault="008A7BB5" w:rsidP="00206E91">
            <w:pPr>
              <w:contextualSpacing/>
              <w:jc w:val="center"/>
              <w:rPr>
                <w:sz w:val="26"/>
                <w:szCs w:val="26"/>
              </w:rPr>
            </w:pPr>
          </w:p>
          <w:p w:rsidR="008A7BB5" w:rsidRPr="00206E91" w:rsidRDefault="008A7BB5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АО «АльфаСтрахование»</w:t>
            </w:r>
          </w:p>
          <w:p w:rsidR="008A7BB5" w:rsidRPr="00206E91" w:rsidRDefault="008A7BB5" w:rsidP="00206E9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B5" w:rsidRPr="00206E91" w:rsidRDefault="008A7BB5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 xml:space="preserve">с 28.02.2023 </w:t>
            </w:r>
          </w:p>
          <w:p w:rsidR="008A7BB5" w:rsidRPr="00206E91" w:rsidRDefault="008A7BB5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по 27.02.2024</w:t>
            </w:r>
          </w:p>
        </w:tc>
      </w:tr>
      <w:tr w:rsidR="008A7BB5" w:rsidRPr="00206E91" w:rsidTr="008A7BB5">
        <w:trPr>
          <w:cantSplit/>
          <w:trHeight w:val="804"/>
        </w:trPr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B5" w:rsidRPr="00206E91" w:rsidRDefault="008A7BB5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(ОПО)</w:t>
            </w:r>
          </w:p>
        </w:tc>
        <w:tc>
          <w:tcPr>
            <w:tcW w:w="1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B5" w:rsidRPr="00206E91" w:rsidRDefault="008A7BB5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АО «СОГАЗ»</w:t>
            </w:r>
          </w:p>
        </w:tc>
        <w:tc>
          <w:tcPr>
            <w:tcW w:w="14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7BB5" w:rsidRPr="00206E91" w:rsidRDefault="008A7BB5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 xml:space="preserve">с 17.02.2023 </w:t>
            </w:r>
          </w:p>
          <w:p w:rsidR="008A7BB5" w:rsidRPr="00206E91" w:rsidRDefault="008A7BB5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по 16.02.2024</w:t>
            </w:r>
          </w:p>
        </w:tc>
      </w:tr>
    </w:tbl>
    <w:p w:rsidR="00CF1E3D" w:rsidRPr="00206E91" w:rsidRDefault="00CF1E3D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06E91" w:rsidRDefault="00EF2FC8" w:rsidP="00206E91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06E91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448"/>
        <w:gridCol w:w="795"/>
        <w:gridCol w:w="1371"/>
        <w:gridCol w:w="1996"/>
      </w:tblGrid>
      <w:tr w:rsidR="00EF2FC8" w:rsidRPr="00206E91" w:rsidTr="008700A6">
        <w:trPr>
          <w:tblHeader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EF2FC8" w:rsidRPr="00206E91" w:rsidRDefault="00EF2FC8" w:rsidP="00206E9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EF2FC8" w:rsidRPr="00206E91" w:rsidTr="008700A6">
        <w:trPr>
          <w:tblHeader/>
        </w:trPr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6E91" w:rsidRDefault="00EF2FC8" w:rsidP="00206E91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6E91" w:rsidRDefault="00EF2FC8" w:rsidP="00206E9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206E91" w:rsidRDefault="00EF2FC8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Гончаров Юрий Владимирович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Краинский Даниил Владимирович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rPr>
          <w:trHeight w:val="113"/>
        </w:trPr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206E91">
              <w:rPr>
                <w:sz w:val="26"/>
                <w:szCs w:val="26"/>
              </w:rPr>
              <w:t>5.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Михеев Дмитрий Дмитриевич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206E91">
              <w:rPr>
                <w:sz w:val="26"/>
                <w:szCs w:val="26"/>
              </w:rPr>
              <w:t>6.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Парамонова Наталья Владимировна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rPr>
          <w:trHeight w:val="84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6E91" w:rsidRDefault="00EF2FC8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7.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6E91" w:rsidRDefault="00EF2FC8" w:rsidP="00206E91">
            <w:pPr>
              <w:contextualSpacing/>
              <w:rPr>
                <w:sz w:val="26"/>
                <w:szCs w:val="26"/>
              </w:rPr>
            </w:pPr>
            <w:bookmarkStart w:id="2" w:name="_GoBack"/>
            <w:bookmarkEnd w:id="2"/>
            <w:r w:rsidRPr="00206E91">
              <w:rPr>
                <w:sz w:val="26"/>
                <w:szCs w:val="26"/>
              </w:rPr>
              <w:t>Пидник Артём Юрьевич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F66856" w:rsidRPr="00206E91" w:rsidRDefault="00F66856" w:rsidP="00206E91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06E91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EF2FC8" w:rsidRPr="00206E91" w:rsidRDefault="00935848" w:rsidP="00206E91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06E91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206E91" w:rsidRDefault="00BB568B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F1E3D" w:rsidRPr="00206E91" w:rsidRDefault="00EF2FC8" w:rsidP="00206E91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06E91">
        <w:rPr>
          <w:b/>
          <w:spacing w:val="-4"/>
          <w:sz w:val="28"/>
          <w:szCs w:val="28"/>
        </w:rPr>
        <w:lastRenderedPageBreak/>
        <w:t>ВОПРОС № 4:</w:t>
      </w:r>
      <w:r w:rsidRPr="00206E91">
        <w:rPr>
          <w:spacing w:val="-4"/>
          <w:sz w:val="28"/>
          <w:szCs w:val="28"/>
        </w:rPr>
        <w:t xml:space="preserve"> </w:t>
      </w:r>
      <w:r w:rsidR="008A7BB5" w:rsidRPr="00206E91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 предварительном одобрении сделки, связанной с отчуждением имущества, составляющего основные средства, относящиеся к недвижимому имуществу, объектов незавершенного строительства, целью использования которых не является производство, передача, диспетчирование, распределение электрической и тепловой энергии.</w:t>
      </w:r>
    </w:p>
    <w:p w:rsidR="008A7BB5" w:rsidRPr="00206E91" w:rsidRDefault="008A7BB5" w:rsidP="00206E91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06E91" w:rsidRDefault="00EF2FC8" w:rsidP="00206E91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8A7BB5" w:rsidRPr="00206E91" w:rsidRDefault="008A7BB5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1.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Определить цену (денежную оценку) отчуждаемого имущества, составляющего основные средства, относящиеся к недвижимому имуществу, объектов незавершенного строительства, целью использования которых не является производство, передача, диспетчирование, распределение электрической и тепловой энергии, расположенного по адресу: Калининградская область, Гурьевский район, северо-западнее пос. Рощино и указанного в приложении к настоящему решению, в размере цены, предложенной победителем аукциона, но не менее рыночной стоимости, определенной оценщиком – АО Управляющая компания «Магистр» (отчет об оценке № 458-22/Н), составляющей 27 696 000 (Двадцать семь миллионов шестьсот девяносто шесть тысяч) рублей 00 копеек, кроме того НДС 20% в размере 5 539 200 (Пять миллионов пятьсот тридцать девять тысяч двести) рублей 00 копеек.</w:t>
      </w:r>
    </w:p>
    <w:p w:rsidR="008A7BB5" w:rsidRPr="00206E91" w:rsidRDefault="008A7BB5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В случае признания аукциона несостоявшимся по причине подачи заявки только одним участником, отчуждение имущества осуществляется по цене, равной начальной цене аукциона, путем заключения договора купли-продажи имущества с единственным участником аукциона.</w:t>
      </w:r>
    </w:p>
    <w:p w:rsidR="008A7BB5" w:rsidRPr="00206E91" w:rsidRDefault="008A7BB5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2.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Одобрить совершение АО «Россети Янтарь» (продавец) сделки (договора купли-продажи имущества), связанной с отчуждением имущества, составляющего основные средства, относящиеся к недвижимому имуществу, объектов незавершенного строительства, целью использования которых не является производство, передача, диспетчирование, распределение электрической и тепловой энергии, расположенного по адресу: Калининградская область, Гурьевский район, северо-западнее пос. Рощино, на следующих существенных условиях:</w:t>
      </w:r>
    </w:p>
    <w:p w:rsidR="008A7BB5" w:rsidRPr="00206E91" w:rsidRDefault="008A7BB5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 xml:space="preserve">состав отчуждаемого имущества: комплекс очистных сооружений, состоящий из объекта недвижимого имущества и объектов незавершенного строительства, расположенных по адресу: Калининградская область, Гурьевский район, северо-западнее пос. Рощино, согласно </w:t>
      </w:r>
      <w:proofErr w:type="gramStart"/>
      <w:r w:rsidRPr="00206E91">
        <w:rPr>
          <w:rFonts w:eastAsia="Calibri"/>
          <w:color w:val="000000"/>
          <w:sz w:val="28"/>
          <w:szCs w:val="28"/>
          <w:lang w:eastAsia="en-US"/>
        </w:rPr>
        <w:t>приложению</w:t>
      </w:r>
      <w:proofErr w:type="gramEnd"/>
      <w:r w:rsidRPr="00206E91">
        <w:rPr>
          <w:rFonts w:eastAsia="Calibri"/>
          <w:color w:val="000000"/>
          <w:sz w:val="28"/>
          <w:szCs w:val="28"/>
          <w:lang w:eastAsia="en-US"/>
        </w:rPr>
        <w:t xml:space="preserve"> к настоящему решению;</w:t>
      </w:r>
    </w:p>
    <w:p w:rsidR="008A7BB5" w:rsidRPr="00206E91" w:rsidRDefault="008A7BB5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балансовая (остаточная) стоимость отчуждаемого имущества по состоянию на 31.12.2022 составляет 26 471 000 (Двадцать шесть миллионов четыреста семьдесят одна тысяча) рублей 00 копеек;</w:t>
      </w:r>
    </w:p>
    <w:p w:rsidR="008A7BB5" w:rsidRPr="00206E91" w:rsidRDefault="008A7BB5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способ отчуждения имущества: единым лотом на открытом по составу участников аукционе;</w:t>
      </w:r>
    </w:p>
    <w:p w:rsidR="008A7BB5" w:rsidRPr="00206E91" w:rsidRDefault="008A7BB5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 xml:space="preserve">начальная цена аукциона по отчуждению имущества устанавливается равной рыночной стоимости, определенной оценщиком – АО Управляющая компания «Магистр» (отчет об оценке № 458-22/Н), и составляет 27 696 000 (Двадцать семь миллионов шестьсот девяносто шесть </w:t>
      </w:r>
      <w:r w:rsidRPr="00206E91">
        <w:rPr>
          <w:rFonts w:eastAsia="Calibri"/>
          <w:color w:val="000000"/>
          <w:sz w:val="28"/>
          <w:szCs w:val="28"/>
          <w:lang w:eastAsia="en-US"/>
        </w:rPr>
        <w:lastRenderedPageBreak/>
        <w:t>тысяч) рублей 00 копеек, кроме того НДС 20% в размере 5 539 200 (Пять миллионов пятьсот тридцать девять тысяч двести) рублей 00 копеек;</w:t>
      </w:r>
    </w:p>
    <w:p w:rsidR="008A7BB5" w:rsidRPr="00206E91" w:rsidRDefault="008A7BB5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в случае признания аукциона несостоявшимся по причине подачи заявки только одним участником, отчуждение имущества осуществляется по цене, равной начальной цене аукциона, путем заключения договора купли-продажи имущества с единственным участником аукциона.</w:t>
      </w:r>
    </w:p>
    <w:p w:rsidR="00725107" w:rsidRPr="00206E91" w:rsidRDefault="008A7BB5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порядок (сроки) оплаты имущества – до перехода права собственности на имущество, не позднее 14 (Четырнадцати) календарных дней с даты подписания сторонами договора купли-продажи имущества, путем перечисления покупателем денежных средств на расчетный счет продавца.</w:t>
      </w:r>
    </w:p>
    <w:p w:rsidR="008A7BB5" w:rsidRPr="00206E91" w:rsidRDefault="008A7BB5" w:rsidP="00206E9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206E91" w:rsidRDefault="00EF2FC8" w:rsidP="00206E91">
      <w:pPr>
        <w:keepNext/>
        <w:keepLines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06E91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448"/>
        <w:gridCol w:w="795"/>
        <w:gridCol w:w="1371"/>
        <w:gridCol w:w="1996"/>
      </w:tblGrid>
      <w:tr w:rsidR="00EF2FC8" w:rsidRPr="00206E91" w:rsidTr="008700A6">
        <w:trPr>
          <w:tblHeader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EF2FC8" w:rsidRPr="00206E91" w:rsidRDefault="00EF2FC8" w:rsidP="00206E9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EF2FC8" w:rsidRPr="00206E91" w:rsidTr="008700A6">
        <w:trPr>
          <w:tblHeader/>
        </w:trPr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6E91" w:rsidRDefault="00EF2FC8" w:rsidP="00206E91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EF2FC8" w:rsidRPr="00206E91" w:rsidRDefault="00EF2FC8" w:rsidP="00206E9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EF2FC8" w:rsidRPr="00206E91" w:rsidRDefault="00EF2FC8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EF2FC8" w:rsidRPr="00206E91" w:rsidRDefault="00EF2FC8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Гончаров Юрий Владимирович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Краинский Даниил Владимирович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206E91">
              <w:rPr>
                <w:sz w:val="26"/>
                <w:szCs w:val="26"/>
              </w:rPr>
              <w:t>5.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Михеев Дмитрий Дмитриевич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206E91">
              <w:rPr>
                <w:sz w:val="26"/>
                <w:szCs w:val="26"/>
              </w:rPr>
              <w:t>6.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F2FC8" w:rsidRPr="00206E91" w:rsidRDefault="00EF2FC8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Парамонова Наталья Владимировна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EF2FC8" w:rsidRPr="00206E91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6E91" w:rsidRDefault="00EF2FC8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7.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FC8" w:rsidRPr="00206E91" w:rsidRDefault="00EF2FC8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Пидник Артём Юрьевич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FC8" w:rsidRPr="00206E91" w:rsidRDefault="00EF2FC8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8C38D4" w:rsidRPr="00206E91" w:rsidRDefault="008C38D4" w:rsidP="00206E91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06E91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принимающих участие в заседании.</w:t>
      </w:r>
    </w:p>
    <w:p w:rsidR="00FE76E2" w:rsidRPr="00206E91" w:rsidRDefault="00FE76E2" w:rsidP="00206E91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06E91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196875" w:rsidRPr="00206E91" w:rsidRDefault="00196875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A7BB5" w:rsidRPr="00206E91" w:rsidRDefault="00196875" w:rsidP="00206E91">
      <w:pPr>
        <w:ind w:firstLine="709"/>
        <w:contextualSpacing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206E91">
        <w:rPr>
          <w:b/>
          <w:spacing w:val="-4"/>
          <w:sz w:val="28"/>
          <w:szCs w:val="28"/>
        </w:rPr>
        <w:t>ВОПРОС № 5:</w:t>
      </w:r>
      <w:r w:rsidRPr="00206E91">
        <w:rPr>
          <w:spacing w:val="-4"/>
          <w:sz w:val="28"/>
          <w:szCs w:val="28"/>
        </w:rPr>
        <w:t xml:space="preserve"> </w:t>
      </w:r>
      <w:r w:rsidR="008A7BB5" w:rsidRPr="00206E91"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  <w:t>Об утверждении Плана развития Общества.</w:t>
      </w:r>
    </w:p>
    <w:p w:rsidR="00A74749" w:rsidRPr="00206E91" w:rsidRDefault="00A74749" w:rsidP="00206E9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206E91" w:rsidRDefault="00196875" w:rsidP="00206E91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C63388" w:rsidRPr="00206E91" w:rsidRDefault="008A7BB5" w:rsidP="00206E91">
      <w:pPr>
        <w:pStyle w:val="a7"/>
        <w:numPr>
          <w:ilvl w:val="0"/>
          <w:numId w:val="24"/>
        </w:numPr>
        <w:tabs>
          <w:tab w:val="left" w:pos="993"/>
          <w:tab w:val="left" w:pos="1276"/>
          <w:tab w:val="left" w:pos="2977"/>
        </w:tabs>
        <w:ind w:left="0" w:firstLine="709"/>
        <w:jc w:val="both"/>
        <w:rPr>
          <w:sz w:val="28"/>
          <w:szCs w:val="28"/>
        </w:rPr>
      </w:pPr>
      <w:r w:rsidRPr="00206E91">
        <w:rPr>
          <w:sz w:val="28"/>
          <w:szCs w:val="28"/>
        </w:rPr>
        <w:t xml:space="preserve">Утвердить План развития Общества согласно </w:t>
      </w:r>
      <w:proofErr w:type="gramStart"/>
      <w:r w:rsidRPr="00206E91">
        <w:rPr>
          <w:sz w:val="28"/>
          <w:szCs w:val="28"/>
        </w:rPr>
        <w:t>приложению</w:t>
      </w:r>
      <w:proofErr w:type="gramEnd"/>
      <w:r w:rsidRPr="00206E91">
        <w:rPr>
          <w:sz w:val="28"/>
          <w:szCs w:val="28"/>
        </w:rPr>
        <w:t xml:space="preserve"> к настоящему решению.</w:t>
      </w:r>
    </w:p>
    <w:p w:rsidR="008A7BB5" w:rsidRPr="00206E91" w:rsidRDefault="008A7BB5" w:rsidP="00206E91">
      <w:pPr>
        <w:pStyle w:val="a7"/>
        <w:numPr>
          <w:ilvl w:val="0"/>
          <w:numId w:val="24"/>
        </w:numPr>
        <w:tabs>
          <w:tab w:val="left" w:pos="993"/>
          <w:tab w:val="left" w:pos="1276"/>
          <w:tab w:val="left" w:pos="2977"/>
        </w:tabs>
        <w:ind w:left="0" w:firstLine="709"/>
        <w:jc w:val="both"/>
        <w:rPr>
          <w:sz w:val="28"/>
          <w:szCs w:val="28"/>
        </w:rPr>
      </w:pPr>
      <w:r w:rsidRPr="00206E91">
        <w:rPr>
          <w:sz w:val="28"/>
          <w:szCs w:val="28"/>
        </w:rPr>
        <w:t>Обеспечить вынесение на рассмотрение Совета директоров Общества вопроса: «О рассмотрении отчета об исполнении Плана развития Общества».</w:t>
      </w:r>
    </w:p>
    <w:p w:rsidR="008A7BB5" w:rsidRPr="00206E91" w:rsidRDefault="008A7BB5" w:rsidP="00206E91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206E91">
        <w:rPr>
          <w:sz w:val="28"/>
          <w:szCs w:val="28"/>
        </w:rPr>
        <w:t>Срок:</w:t>
      </w:r>
    </w:p>
    <w:p w:rsidR="008A7BB5" w:rsidRPr="00206E91" w:rsidRDefault="008A7BB5" w:rsidP="00206E91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206E91">
        <w:rPr>
          <w:sz w:val="28"/>
          <w:szCs w:val="28"/>
        </w:rPr>
        <w:t>–</w:t>
      </w:r>
      <w:r w:rsidR="00922E21" w:rsidRPr="00206E91">
        <w:rPr>
          <w:sz w:val="28"/>
          <w:szCs w:val="28"/>
        </w:rPr>
        <w:t> </w:t>
      </w:r>
      <w:r w:rsidRPr="00206E91">
        <w:rPr>
          <w:sz w:val="28"/>
          <w:szCs w:val="28"/>
        </w:rPr>
        <w:t>по итогам 6 месяцев - до 15.08 отчетного года;</w:t>
      </w:r>
    </w:p>
    <w:p w:rsidR="00CF1E3D" w:rsidRPr="00206E91" w:rsidRDefault="008A7BB5" w:rsidP="00206E91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206E91">
        <w:rPr>
          <w:sz w:val="28"/>
          <w:szCs w:val="28"/>
        </w:rPr>
        <w:t>–</w:t>
      </w:r>
      <w:r w:rsidR="00922E21" w:rsidRPr="00206E91">
        <w:rPr>
          <w:sz w:val="28"/>
          <w:szCs w:val="28"/>
        </w:rPr>
        <w:t> </w:t>
      </w:r>
      <w:r w:rsidRPr="00206E91">
        <w:rPr>
          <w:sz w:val="28"/>
          <w:szCs w:val="28"/>
        </w:rPr>
        <w:t>годовой отчет - до 01.03 года, следующего за отчетным.</w:t>
      </w:r>
    </w:p>
    <w:p w:rsidR="008A7BB5" w:rsidRPr="00206E91" w:rsidRDefault="008A7BB5" w:rsidP="00206E91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96875" w:rsidRPr="00206E91" w:rsidRDefault="00196875" w:rsidP="00206E91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06E91">
        <w:rPr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8"/>
        <w:gridCol w:w="4448"/>
        <w:gridCol w:w="795"/>
        <w:gridCol w:w="1371"/>
        <w:gridCol w:w="1996"/>
      </w:tblGrid>
      <w:tr w:rsidR="00196875" w:rsidRPr="00206E91" w:rsidTr="008700A6">
        <w:trPr>
          <w:tblHeader/>
        </w:trPr>
        <w:tc>
          <w:tcPr>
            <w:tcW w:w="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06E91" w:rsidRDefault="00196875" w:rsidP="00206E91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06E91" w:rsidRDefault="00196875" w:rsidP="00206E9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196875" w:rsidRPr="00206E91" w:rsidRDefault="00196875" w:rsidP="00206E91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2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06E91" w:rsidRDefault="00196875" w:rsidP="00206E91">
            <w:pPr>
              <w:keepNext/>
              <w:keepLines/>
              <w:ind w:firstLine="175"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196875" w:rsidRPr="00206E91" w:rsidTr="008700A6">
        <w:trPr>
          <w:tblHeader/>
        </w:trPr>
        <w:tc>
          <w:tcPr>
            <w:tcW w:w="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206E91" w:rsidRDefault="00196875" w:rsidP="00206E91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196875" w:rsidRPr="00206E91" w:rsidRDefault="00196875" w:rsidP="00206E91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196875" w:rsidRPr="00206E91" w:rsidRDefault="00196875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06E91" w:rsidRDefault="00196875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196875" w:rsidRPr="00206E91" w:rsidRDefault="00196875" w:rsidP="00206E91">
            <w:pPr>
              <w:keepNext/>
              <w:keepLines/>
              <w:contextualSpacing/>
              <w:jc w:val="center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196875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06E91" w:rsidRDefault="00196875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6875" w:rsidRPr="00206E91" w:rsidRDefault="00196875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Гончаров Юрий Владимирович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6875" w:rsidRPr="00206E91" w:rsidRDefault="00196875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6875" w:rsidRPr="00206E91" w:rsidRDefault="00196875" w:rsidP="00206E91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Краинский Даниил Владимирович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206E91" w:rsidTr="008700A6"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206E91">
              <w:rPr>
                <w:sz w:val="26"/>
                <w:szCs w:val="26"/>
              </w:rPr>
              <w:t>5.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06E91" w:rsidRDefault="00196875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Михеев Дмитрий Дмитриевич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206E91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206E91">
              <w:rPr>
                <w:sz w:val="26"/>
                <w:szCs w:val="26"/>
              </w:rPr>
              <w:t>6.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6875" w:rsidRPr="00206E91" w:rsidRDefault="00196875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Парамонова Наталья Владимировна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196875" w:rsidRPr="00206E91" w:rsidTr="008700A6">
        <w:trPr>
          <w:trHeight w:val="310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206E91" w:rsidRDefault="00196875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875" w:rsidRPr="00206E91" w:rsidRDefault="00196875" w:rsidP="00206E91">
            <w:pPr>
              <w:contextualSpacing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Пидник Артём Юрьевич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875" w:rsidRPr="00206E91" w:rsidRDefault="00196875" w:rsidP="00206E91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6E91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D76419" w:rsidRPr="00206E91" w:rsidRDefault="00D76419" w:rsidP="00206E91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206E91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196875" w:rsidRPr="00206E91" w:rsidRDefault="00196875" w:rsidP="00206E9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666471" w:rsidRPr="00206E91" w:rsidRDefault="00666471" w:rsidP="00206E91">
      <w:pPr>
        <w:contextualSpacing/>
        <w:jc w:val="both"/>
        <w:rPr>
          <w:rFonts w:eastAsia="Calibri"/>
          <w:bCs/>
          <w:color w:val="000000"/>
          <w:sz w:val="28"/>
          <w:szCs w:val="28"/>
        </w:rPr>
      </w:pPr>
    </w:p>
    <w:p w:rsidR="00FE76E2" w:rsidRPr="00206E91" w:rsidRDefault="00D26813" w:rsidP="00206E91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06E91">
        <w:rPr>
          <w:rFonts w:eastAsiaTheme="minorHAnsi"/>
          <w:b/>
          <w:sz w:val="28"/>
          <w:szCs w:val="28"/>
          <w:lang w:eastAsia="en-US"/>
        </w:rPr>
        <w:t>По результатам голосования Совет директоров АО «Россети Янтарь» принял следующие решения:</w:t>
      </w:r>
    </w:p>
    <w:p w:rsidR="00D26813" w:rsidRPr="00206E91" w:rsidRDefault="00D26813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06E91" w:rsidRDefault="00FE76E2" w:rsidP="00206E91">
      <w:pPr>
        <w:ind w:firstLine="709"/>
        <w:contextualSpacing/>
        <w:jc w:val="both"/>
        <w:rPr>
          <w:rFonts w:eastAsia="Courier New"/>
          <w:sz w:val="28"/>
          <w:szCs w:val="28"/>
        </w:rPr>
      </w:pPr>
      <w:r w:rsidRPr="00206E91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922E21" w:rsidRPr="00206E91" w:rsidRDefault="00922E21" w:rsidP="00206E91">
      <w:pPr>
        <w:ind w:firstLine="709"/>
        <w:contextualSpacing/>
        <w:jc w:val="both"/>
        <w:rPr>
          <w:sz w:val="28"/>
          <w:szCs w:val="28"/>
        </w:rPr>
      </w:pPr>
      <w:r w:rsidRPr="00206E91">
        <w:rPr>
          <w:sz w:val="28"/>
          <w:szCs w:val="28"/>
        </w:rPr>
        <w:t>Поручить представителям АО «Россети Янтарь» в Совете директоров АО «Калининградская генерирующая компания» по вопросу «Об утверждении отчета о выполнении ключевых показателей эффективности (КПЭ) Генерального директора АО «Калининградская генерирующая компания» за 2021 год» голосовать «ЗА» принятие следующего решения:</w:t>
      </w:r>
    </w:p>
    <w:p w:rsidR="008700A6" w:rsidRPr="00206E91" w:rsidRDefault="00922E21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sz w:val="28"/>
          <w:szCs w:val="28"/>
        </w:rPr>
        <w:t>Утвердить отчет о выполнении ключевых показателей эффективности (КПЭ) Генерального директора АО «Калининградская генерирующая компания» за 2021 год согласно приложению к настоящему решению Совета директоров.</w:t>
      </w:r>
    </w:p>
    <w:p w:rsidR="00922E21" w:rsidRPr="00206E91" w:rsidRDefault="00922E21" w:rsidP="00206E91">
      <w:pPr>
        <w:keepNext/>
        <w:keepLines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</w:p>
    <w:p w:rsidR="00935848" w:rsidRPr="00206E91" w:rsidRDefault="00935848" w:rsidP="00206E91">
      <w:pPr>
        <w:keepNext/>
        <w:keepLines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206E91">
        <w:rPr>
          <w:b/>
          <w:sz w:val="28"/>
          <w:szCs w:val="28"/>
        </w:rPr>
        <w:t>По вопросу № 2 повестки дня:</w:t>
      </w:r>
    </w:p>
    <w:p w:rsidR="00922E21" w:rsidRPr="00206E91" w:rsidRDefault="00922E21" w:rsidP="00206E91">
      <w:pPr>
        <w:ind w:firstLine="709"/>
        <w:contextualSpacing/>
        <w:jc w:val="both"/>
        <w:rPr>
          <w:sz w:val="28"/>
          <w:szCs w:val="28"/>
        </w:rPr>
      </w:pPr>
      <w:r w:rsidRPr="00206E91">
        <w:rPr>
          <w:sz w:val="28"/>
          <w:szCs w:val="28"/>
        </w:rPr>
        <w:t>Утвердить Программу мероприятий по снижению потерь электрической энергии в сетевом комплексе АО «Россети Янтарь»</w:t>
      </w:r>
      <w:r w:rsidRPr="00206E91">
        <w:rPr>
          <w:sz w:val="28"/>
          <w:szCs w:val="28"/>
        </w:rPr>
        <w:br/>
        <w:t>на 2023-2027 гг. согласно приложению к настоящему решению.</w:t>
      </w:r>
    </w:p>
    <w:p w:rsidR="00725107" w:rsidRPr="00206E91" w:rsidRDefault="00725107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35848" w:rsidRPr="00206E91" w:rsidRDefault="00935848" w:rsidP="00206E91">
      <w:pPr>
        <w:keepNext/>
        <w:keepLines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206E91">
        <w:rPr>
          <w:b/>
          <w:sz w:val="28"/>
          <w:szCs w:val="28"/>
        </w:rPr>
        <w:t>По вопросу № 3 повестки дня:</w:t>
      </w:r>
    </w:p>
    <w:p w:rsidR="00922E21" w:rsidRPr="00206E91" w:rsidRDefault="00922E21" w:rsidP="00206E9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Утвердить в качестве страховщиков АО «Россети Янтарь» следующие страховые компании:</w:t>
      </w:r>
    </w:p>
    <w:tbl>
      <w:tblPr>
        <w:tblW w:w="5000" w:type="pct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9"/>
        <w:gridCol w:w="2800"/>
        <w:gridCol w:w="2635"/>
      </w:tblGrid>
      <w:tr w:rsidR="00922E21" w:rsidRPr="00206E91" w:rsidTr="000834EC">
        <w:trPr>
          <w:cantSplit/>
          <w:trHeight w:val="256"/>
        </w:trPr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21" w:rsidRPr="00206E91" w:rsidRDefault="00922E21" w:rsidP="00206E91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206E91">
              <w:rPr>
                <w:b/>
                <w:iCs/>
                <w:sz w:val="26"/>
                <w:szCs w:val="26"/>
              </w:rPr>
              <w:t>Вид страхования</w:t>
            </w:r>
          </w:p>
        </w:tc>
        <w:tc>
          <w:tcPr>
            <w:tcW w:w="1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21" w:rsidRPr="00206E91" w:rsidRDefault="00922E21" w:rsidP="00206E91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206E91">
              <w:rPr>
                <w:b/>
                <w:iCs/>
                <w:sz w:val="26"/>
                <w:szCs w:val="26"/>
              </w:rPr>
              <w:t>Страховая компания</w:t>
            </w:r>
          </w:p>
        </w:tc>
        <w:tc>
          <w:tcPr>
            <w:tcW w:w="14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21" w:rsidRPr="00206E91" w:rsidRDefault="00922E21" w:rsidP="00206E91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206E91">
              <w:rPr>
                <w:b/>
                <w:iCs/>
                <w:sz w:val="26"/>
                <w:szCs w:val="26"/>
              </w:rPr>
              <w:t xml:space="preserve">Период страхования </w:t>
            </w:r>
          </w:p>
          <w:p w:rsidR="00922E21" w:rsidRPr="00206E91" w:rsidRDefault="00922E21" w:rsidP="00206E91">
            <w:pPr>
              <w:contextualSpacing/>
              <w:jc w:val="center"/>
              <w:rPr>
                <w:b/>
                <w:iCs/>
                <w:sz w:val="26"/>
                <w:szCs w:val="26"/>
              </w:rPr>
            </w:pPr>
            <w:r w:rsidRPr="00206E91">
              <w:rPr>
                <w:b/>
                <w:iCs/>
                <w:sz w:val="26"/>
                <w:szCs w:val="26"/>
              </w:rPr>
              <w:t xml:space="preserve">(период выдачи полисов) </w:t>
            </w:r>
          </w:p>
        </w:tc>
      </w:tr>
      <w:tr w:rsidR="00922E21" w:rsidRPr="00206E91" w:rsidTr="000834EC">
        <w:trPr>
          <w:cantSplit/>
          <w:trHeight w:val="804"/>
        </w:trPr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21" w:rsidRPr="00206E91" w:rsidRDefault="00922E21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1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21" w:rsidRPr="00206E91" w:rsidRDefault="00922E21" w:rsidP="00206E91">
            <w:pPr>
              <w:contextualSpacing/>
              <w:jc w:val="center"/>
              <w:rPr>
                <w:sz w:val="26"/>
                <w:szCs w:val="26"/>
              </w:rPr>
            </w:pPr>
          </w:p>
          <w:p w:rsidR="00922E21" w:rsidRPr="00206E91" w:rsidRDefault="00922E21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АО «АльфаСтрахование»</w:t>
            </w:r>
          </w:p>
          <w:p w:rsidR="00922E21" w:rsidRPr="00206E91" w:rsidRDefault="00922E21" w:rsidP="00206E91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21" w:rsidRPr="00206E91" w:rsidRDefault="00922E21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 xml:space="preserve">с 28.02.2023 </w:t>
            </w:r>
          </w:p>
          <w:p w:rsidR="00922E21" w:rsidRPr="00206E91" w:rsidRDefault="00922E21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по 27.02.2024</w:t>
            </w:r>
          </w:p>
        </w:tc>
      </w:tr>
      <w:tr w:rsidR="00922E21" w:rsidRPr="00206E91" w:rsidTr="000834EC">
        <w:trPr>
          <w:cantSplit/>
          <w:trHeight w:val="804"/>
        </w:trPr>
        <w:tc>
          <w:tcPr>
            <w:tcW w:w="2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21" w:rsidRPr="00206E91" w:rsidRDefault="00922E21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(ОПО)</w:t>
            </w:r>
          </w:p>
        </w:tc>
        <w:tc>
          <w:tcPr>
            <w:tcW w:w="1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21" w:rsidRPr="00206E91" w:rsidRDefault="00922E21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АО «СОГАЗ»</w:t>
            </w:r>
          </w:p>
        </w:tc>
        <w:tc>
          <w:tcPr>
            <w:tcW w:w="14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E21" w:rsidRPr="00206E91" w:rsidRDefault="00922E21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 xml:space="preserve">с 17.02.2023 </w:t>
            </w:r>
          </w:p>
          <w:p w:rsidR="00922E21" w:rsidRPr="00206E91" w:rsidRDefault="00922E21" w:rsidP="00206E91">
            <w:pPr>
              <w:contextualSpacing/>
              <w:jc w:val="center"/>
              <w:rPr>
                <w:sz w:val="26"/>
                <w:szCs w:val="26"/>
              </w:rPr>
            </w:pPr>
            <w:r w:rsidRPr="00206E91">
              <w:rPr>
                <w:sz w:val="26"/>
                <w:szCs w:val="26"/>
              </w:rPr>
              <w:t>по 16.02.2024</w:t>
            </w:r>
          </w:p>
        </w:tc>
      </w:tr>
    </w:tbl>
    <w:p w:rsidR="00AF7465" w:rsidRPr="00206E91" w:rsidRDefault="00AF7465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E46B3" w:rsidRPr="00206E91" w:rsidRDefault="00DE46B3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DE46B3" w:rsidRPr="00206E91" w:rsidRDefault="00DE46B3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35848" w:rsidRPr="00206E91" w:rsidRDefault="00935848" w:rsidP="00206E91">
      <w:pPr>
        <w:widowControl w:val="0"/>
        <w:tabs>
          <w:tab w:val="left" w:pos="0"/>
          <w:tab w:val="left" w:pos="1843"/>
        </w:tabs>
        <w:ind w:firstLine="709"/>
        <w:contextualSpacing/>
        <w:jc w:val="both"/>
        <w:rPr>
          <w:b/>
          <w:sz w:val="28"/>
          <w:szCs w:val="28"/>
        </w:rPr>
      </w:pPr>
      <w:r w:rsidRPr="00206E91">
        <w:rPr>
          <w:b/>
          <w:sz w:val="28"/>
          <w:szCs w:val="28"/>
        </w:rPr>
        <w:lastRenderedPageBreak/>
        <w:t>По вопросу № 4 повестки дня:</w:t>
      </w:r>
    </w:p>
    <w:p w:rsidR="00922E21" w:rsidRPr="00206E91" w:rsidRDefault="00922E21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1.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Определить цену (денежную оценку) отчуждаемого имущества, составляющего основные средства, относящиеся к недвижимому имуществу, объектов незавершенного строительства, целью использования которых не является производство, передача, диспетчирование, распределение электрической и тепловой энергии, расположенного по адресу: Калининградская область, Гурьевский район, северо-западнее пос. Рощино и указанного в приложении к настоящему решению, в размере цены, предложенной победителем аукциона, но не менее рыночной стоимости, определенной оценщиком – АО Управляющая компания «Магистр» (отчет об оценке № 458-22/Н), составляющей 27 696 000 (Двадцать семь миллионов шестьсот девяносто шесть тысяч) рублей 00 копеек, кроме того НДС 20% в размере 5 539 200 (Пять миллионов пятьсот тридцать девять тысяч двести) рублей 00 копеек.</w:t>
      </w:r>
    </w:p>
    <w:p w:rsidR="00922E21" w:rsidRPr="00206E91" w:rsidRDefault="00922E21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В случае признания аукциона несостоявшимся по причине подачи заявки только одним участником, отчуждение имущества осуществляется по цене, равной начальной цене аукциона, путем заключения договора купли-продажи имущества с единственным участником аукциона.</w:t>
      </w:r>
    </w:p>
    <w:p w:rsidR="00922E21" w:rsidRPr="00206E91" w:rsidRDefault="00922E21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2.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Одобрить совершение АО «Россети Янтарь» (продавец) сделки (договора купли-продажи имущества), связанной с отчуждением имущества, составляющего основные средства, относящиеся к недвижимому имуществу, объектов незавершенного строительства, целью использования которых не является производство, передача, диспетчирование, распределение электрической и тепловой энергии, расположенного по адресу: Калининградская область, Гурьевский район, северо-западнее пос. Рощино, на следующих существенных условиях:</w:t>
      </w:r>
    </w:p>
    <w:p w:rsidR="00922E21" w:rsidRPr="00206E91" w:rsidRDefault="00922E21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 xml:space="preserve">состав отчуждаемого имущества: комплекс очистных сооружений, состоящий из объекта недвижимого имущества и объектов незавершенного строительства, расположенных по адресу: Калининградская область, Гурьевский район, северо-западнее пос. Рощино, согласно </w:t>
      </w:r>
      <w:proofErr w:type="gramStart"/>
      <w:r w:rsidRPr="00206E91">
        <w:rPr>
          <w:rFonts w:eastAsia="Calibri"/>
          <w:color w:val="000000"/>
          <w:sz w:val="28"/>
          <w:szCs w:val="28"/>
          <w:lang w:eastAsia="en-US"/>
        </w:rPr>
        <w:t>приложению</w:t>
      </w:r>
      <w:proofErr w:type="gramEnd"/>
      <w:r w:rsidRPr="00206E91">
        <w:rPr>
          <w:rFonts w:eastAsia="Calibri"/>
          <w:color w:val="000000"/>
          <w:sz w:val="28"/>
          <w:szCs w:val="28"/>
          <w:lang w:eastAsia="en-US"/>
        </w:rPr>
        <w:t xml:space="preserve"> к настоящему решению;</w:t>
      </w:r>
    </w:p>
    <w:p w:rsidR="00922E21" w:rsidRPr="00206E91" w:rsidRDefault="00922E21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балансовая (остаточная) стоимость отчуждаемого имущества по состоянию на 31.12.2022 составляет 26 471 000 (Двадцать шесть миллионов четыреста семьдесят одна тысяча) рублей 00 копеек;</w:t>
      </w:r>
    </w:p>
    <w:p w:rsidR="00922E21" w:rsidRPr="00206E91" w:rsidRDefault="00922E21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способ отчуждения имущества: единым лотом на открытом по составу участников аукционе;</w:t>
      </w:r>
    </w:p>
    <w:p w:rsidR="00922E21" w:rsidRPr="00206E91" w:rsidRDefault="00922E21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начальная цена аукциона по отчуждению имущества устанавливается равной рыночной стоимости, определенной оценщиком – АО Управляющая компания «Магистр» (отчет об оценке № 458-22/Н), и составляет 27 696 000 (Двадцать семь миллионов шестьсот девяносто шесть тысяч) рублей 00 копеек, кроме того НДС 20% в размере 5 539 200 (Пять миллионов пятьсот тридцать девять тысяч двести) рублей 00 копеек;</w:t>
      </w:r>
    </w:p>
    <w:p w:rsidR="00922E21" w:rsidRPr="00206E91" w:rsidRDefault="00922E21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в случае признания аукциона несостоявшимся по причине подачи заявки только одним участником, отчуждение имущества осуществляется по цене, равной начальной цене аукциона, путем заключения договора купли-продажи имущества с единственным участником аукциона.</w:t>
      </w:r>
    </w:p>
    <w:p w:rsidR="00922E21" w:rsidRPr="00206E91" w:rsidRDefault="00922E21" w:rsidP="00206E91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06E91">
        <w:rPr>
          <w:rFonts w:eastAsia="Calibri"/>
          <w:color w:val="000000"/>
          <w:sz w:val="28"/>
          <w:szCs w:val="28"/>
          <w:lang w:eastAsia="en-US"/>
        </w:rPr>
        <w:lastRenderedPageBreak/>
        <w:t>–</w:t>
      </w:r>
      <w:r w:rsidRPr="00206E91">
        <w:rPr>
          <w:rFonts w:eastAsia="Calibri"/>
          <w:color w:val="000000"/>
          <w:sz w:val="28"/>
          <w:szCs w:val="28"/>
          <w:lang w:eastAsia="en-US"/>
        </w:rPr>
        <w:tab/>
        <w:t>порядок (сроки) оплаты имущества – до перехода права собственности на имущество, не позднее 14 (Четырнадцати) календарных дней с даты подписания сторонами договора купли-продажи имущества, путем перечисления покупателем денежных средств на расчетный счет продавца.</w:t>
      </w:r>
    </w:p>
    <w:p w:rsidR="00725107" w:rsidRPr="00206E91" w:rsidRDefault="00725107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96D19" w:rsidRPr="00206E91" w:rsidRDefault="00496D19" w:rsidP="00206E91">
      <w:pPr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206E91">
        <w:rPr>
          <w:rFonts w:eastAsiaTheme="minorHAnsi"/>
          <w:b/>
          <w:sz w:val="28"/>
          <w:szCs w:val="28"/>
          <w:lang w:eastAsia="en-US"/>
        </w:rPr>
        <w:t>По вопросу № 5 повестки дня:</w:t>
      </w:r>
    </w:p>
    <w:p w:rsidR="00206E91" w:rsidRPr="00206E91" w:rsidRDefault="00922E21" w:rsidP="00206E91">
      <w:pPr>
        <w:pStyle w:val="a7"/>
        <w:numPr>
          <w:ilvl w:val="0"/>
          <w:numId w:val="25"/>
        </w:numPr>
        <w:tabs>
          <w:tab w:val="left" w:pos="993"/>
          <w:tab w:val="left" w:pos="2977"/>
        </w:tabs>
        <w:ind w:left="0" w:firstLine="709"/>
        <w:jc w:val="both"/>
        <w:rPr>
          <w:sz w:val="28"/>
          <w:szCs w:val="28"/>
        </w:rPr>
      </w:pPr>
      <w:r w:rsidRPr="00206E91">
        <w:rPr>
          <w:sz w:val="28"/>
          <w:szCs w:val="28"/>
        </w:rPr>
        <w:t xml:space="preserve">Утвердить План развития Общества согласно </w:t>
      </w:r>
      <w:proofErr w:type="gramStart"/>
      <w:r w:rsidRPr="00206E91">
        <w:rPr>
          <w:sz w:val="28"/>
          <w:szCs w:val="28"/>
        </w:rPr>
        <w:t>приложению</w:t>
      </w:r>
      <w:proofErr w:type="gramEnd"/>
      <w:r w:rsidRPr="00206E91">
        <w:rPr>
          <w:sz w:val="28"/>
          <w:szCs w:val="28"/>
        </w:rPr>
        <w:t xml:space="preserve"> к настоящему решению.</w:t>
      </w:r>
    </w:p>
    <w:p w:rsidR="00922E21" w:rsidRPr="00206E91" w:rsidRDefault="00922E21" w:rsidP="00206E91">
      <w:pPr>
        <w:pStyle w:val="a7"/>
        <w:numPr>
          <w:ilvl w:val="0"/>
          <w:numId w:val="25"/>
        </w:numPr>
        <w:tabs>
          <w:tab w:val="left" w:pos="993"/>
          <w:tab w:val="left" w:pos="2977"/>
        </w:tabs>
        <w:ind w:left="0" w:firstLine="709"/>
        <w:jc w:val="both"/>
        <w:rPr>
          <w:sz w:val="28"/>
          <w:szCs w:val="28"/>
        </w:rPr>
      </w:pPr>
      <w:r w:rsidRPr="00206E91">
        <w:rPr>
          <w:sz w:val="28"/>
          <w:szCs w:val="28"/>
        </w:rPr>
        <w:t>Обеспечить вынесение на рассмотрение Совета директоров Общества вопроса: «О рассмотрении отчета об исполнении Плана развития Общества».</w:t>
      </w:r>
    </w:p>
    <w:p w:rsidR="00922E21" w:rsidRPr="00206E91" w:rsidRDefault="00922E21" w:rsidP="00206E91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206E91">
        <w:rPr>
          <w:sz w:val="28"/>
          <w:szCs w:val="28"/>
        </w:rPr>
        <w:t>Срок:</w:t>
      </w:r>
    </w:p>
    <w:p w:rsidR="00922E21" w:rsidRPr="00206E91" w:rsidRDefault="00922E21" w:rsidP="00206E91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206E91">
        <w:rPr>
          <w:sz w:val="28"/>
          <w:szCs w:val="28"/>
        </w:rPr>
        <w:t>– по итогам 6 месяцев - до 15.08 отчетного года;</w:t>
      </w:r>
    </w:p>
    <w:p w:rsidR="00922E21" w:rsidRPr="00206E91" w:rsidRDefault="00922E21" w:rsidP="00206E91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206E91">
        <w:rPr>
          <w:sz w:val="28"/>
          <w:szCs w:val="28"/>
        </w:rPr>
        <w:t>– годовой отчет - до 01.03 года, следующего за отчетным.</w:t>
      </w:r>
    </w:p>
    <w:p w:rsidR="00E50715" w:rsidRPr="00206E91" w:rsidRDefault="00E50715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06E91" w:rsidRDefault="001626CD" w:rsidP="00206E91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206E91">
        <w:rPr>
          <w:i/>
          <w:sz w:val="28"/>
          <w:szCs w:val="28"/>
        </w:rPr>
        <w:t xml:space="preserve">Дата составления протокола </w:t>
      </w:r>
      <w:r w:rsidR="008A7BB5" w:rsidRPr="00206E91">
        <w:rPr>
          <w:i/>
          <w:sz w:val="28"/>
          <w:szCs w:val="28"/>
        </w:rPr>
        <w:t>0</w:t>
      </w:r>
      <w:r w:rsidR="00E50715" w:rsidRPr="00206E91">
        <w:rPr>
          <w:i/>
          <w:sz w:val="28"/>
          <w:szCs w:val="28"/>
        </w:rPr>
        <w:t>4</w:t>
      </w:r>
      <w:r w:rsidR="00FE76E2" w:rsidRPr="00206E91">
        <w:rPr>
          <w:i/>
          <w:sz w:val="28"/>
          <w:szCs w:val="28"/>
        </w:rPr>
        <w:t>.</w:t>
      </w:r>
      <w:r w:rsidR="00735DBA" w:rsidRPr="00206E91">
        <w:rPr>
          <w:i/>
          <w:sz w:val="28"/>
          <w:szCs w:val="28"/>
        </w:rPr>
        <w:t>0</w:t>
      </w:r>
      <w:r w:rsidR="008A7BB5" w:rsidRPr="00206E91">
        <w:rPr>
          <w:i/>
          <w:sz w:val="28"/>
          <w:szCs w:val="28"/>
        </w:rPr>
        <w:t>5</w:t>
      </w:r>
      <w:r w:rsidR="00FE76E2" w:rsidRPr="00206E91">
        <w:rPr>
          <w:i/>
          <w:sz w:val="28"/>
          <w:szCs w:val="28"/>
        </w:rPr>
        <w:t>.202</w:t>
      </w:r>
      <w:r w:rsidR="00735DBA" w:rsidRPr="00206E91">
        <w:rPr>
          <w:i/>
          <w:sz w:val="28"/>
          <w:szCs w:val="28"/>
        </w:rPr>
        <w:t>3</w:t>
      </w:r>
      <w:r w:rsidR="00FE76E2" w:rsidRPr="00206E91">
        <w:rPr>
          <w:i/>
          <w:sz w:val="28"/>
          <w:szCs w:val="28"/>
        </w:rPr>
        <w:t>.</w:t>
      </w:r>
    </w:p>
    <w:p w:rsidR="00BD2A2B" w:rsidRPr="00206E91" w:rsidRDefault="00BD2A2B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206E91" w:rsidRDefault="00BD2A2B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206E91" w:rsidRDefault="00696D37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206E91" w:rsidRDefault="00FE76E2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06E91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206E91">
        <w:rPr>
          <w:rFonts w:eastAsiaTheme="minorHAnsi"/>
          <w:sz w:val="28"/>
          <w:szCs w:val="28"/>
          <w:lang w:eastAsia="en-US"/>
        </w:rPr>
        <w:t xml:space="preserve"> </w:t>
      </w:r>
      <w:r w:rsidRPr="00206E91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637DCD" w:rsidRPr="00206E91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206E91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206E91">
        <w:rPr>
          <w:rFonts w:eastAsiaTheme="minorHAnsi"/>
          <w:sz w:val="28"/>
          <w:szCs w:val="28"/>
          <w:lang w:eastAsia="en-US"/>
        </w:rPr>
        <w:t xml:space="preserve">     </w:t>
      </w:r>
      <w:r w:rsidRPr="00206E91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206E91" w:rsidRDefault="00FE76E2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D2A2B" w:rsidRPr="00206E91" w:rsidRDefault="00BD2A2B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C1089" w:rsidRPr="00206E91" w:rsidRDefault="009C1089" w:rsidP="00206E9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8700A6" w:rsidRDefault="00FE76E2" w:rsidP="00206E91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206E91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206E91">
        <w:rPr>
          <w:rFonts w:eastAsiaTheme="minorHAnsi"/>
          <w:sz w:val="28"/>
          <w:szCs w:val="28"/>
          <w:lang w:eastAsia="en-US"/>
        </w:rPr>
        <w:t xml:space="preserve"> </w:t>
      </w:r>
      <w:r w:rsidRPr="00206E91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206E91">
        <w:rPr>
          <w:rFonts w:eastAsiaTheme="minorHAnsi"/>
          <w:sz w:val="28"/>
          <w:szCs w:val="28"/>
          <w:lang w:eastAsia="en-US"/>
        </w:rPr>
        <w:t xml:space="preserve"> </w:t>
      </w:r>
      <w:r w:rsidRPr="00206E9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696D37" w:rsidRPr="00206E91">
        <w:rPr>
          <w:rFonts w:eastAsiaTheme="minorHAnsi"/>
          <w:sz w:val="28"/>
          <w:szCs w:val="28"/>
          <w:lang w:eastAsia="en-US"/>
        </w:rPr>
        <w:t xml:space="preserve">   </w:t>
      </w:r>
      <w:r w:rsidRPr="00206E91">
        <w:rPr>
          <w:rFonts w:eastAsiaTheme="minorHAnsi"/>
          <w:sz w:val="28"/>
          <w:szCs w:val="28"/>
          <w:lang w:eastAsia="en-US"/>
        </w:rPr>
        <w:t xml:space="preserve">     </w:t>
      </w:r>
      <w:r w:rsidR="00637DCD" w:rsidRPr="00206E91">
        <w:rPr>
          <w:rFonts w:eastAsiaTheme="minorHAnsi"/>
          <w:sz w:val="28"/>
          <w:szCs w:val="28"/>
          <w:lang w:eastAsia="en-US"/>
        </w:rPr>
        <w:t xml:space="preserve">      </w:t>
      </w:r>
      <w:r w:rsidR="00696D37" w:rsidRPr="00206E91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206E91">
        <w:rPr>
          <w:rFonts w:eastAsiaTheme="minorHAnsi"/>
          <w:sz w:val="28"/>
          <w:szCs w:val="28"/>
          <w:lang w:eastAsia="en-US"/>
        </w:rPr>
        <w:t xml:space="preserve"> </w:t>
      </w:r>
      <w:r w:rsidRPr="00206E91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8700A6" w:rsidSect="008700A6">
      <w:footerReference w:type="default" r:id="rId9"/>
      <w:pgSz w:w="11907" w:h="16840"/>
      <w:pgMar w:top="851" w:right="992" w:bottom="709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38" w:rsidRDefault="00BC7538" w:rsidP="004C638C">
      <w:r>
        <w:separator/>
      </w:r>
    </w:p>
  </w:endnote>
  <w:endnote w:type="continuationSeparator" w:id="0">
    <w:p w:rsidR="00BC7538" w:rsidRDefault="00BC7538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A74749" w:rsidRPr="00E66F62" w:rsidRDefault="00A74749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206E91">
          <w:rPr>
            <w:rFonts w:ascii="Times New Roman" w:hAnsi="Times New Roman" w:cs="Times New Roman"/>
            <w:noProof/>
          </w:rPr>
          <w:t>8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38" w:rsidRDefault="00BC7538" w:rsidP="004C638C">
      <w:r>
        <w:separator/>
      </w:r>
    </w:p>
  </w:footnote>
  <w:footnote w:type="continuationSeparator" w:id="0">
    <w:p w:rsidR="00BC7538" w:rsidRDefault="00BC7538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6DE7"/>
    <w:multiLevelType w:val="hybridMultilevel"/>
    <w:tmpl w:val="2A4024C0"/>
    <w:lvl w:ilvl="0" w:tplc="69E605AE">
      <w:start w:val="1"/>
      <w:numFmt w:val="decimal"/>
      <w:lvlText w:val="%1."/>
      <w:lvlJc w:val="left"/>
      <w:pPr>
        <w:ind w:left="295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3707307"/>
    <w:multiLevelType w:val="hybridMultilevel"/>
    <w:tmpl w:val="3F8AE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552C2"/>
    <w:multiLevelType w:val="hybridMultilevel"/>
    <w:tmpl w:val="8F1C9C90"/>
    <w:lvl w:ilvl="0" w:tplc="0BDA23F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592448"/>
    <w:multiLevelType w:val="hybridMultilevel"/>
    <w:tmpl w:val="644E9EC6"/>
    <w:lvl w:ilvl="0" w:tplc="80AEF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7324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A66168"/>
    <w:multiLevelType w:val="hybridMultilevel"/>
    <w:tmpl w:val="74869822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184E55"/>
    <w:multiLevelType w:val="hybridMultilevel"/>
    <w:tmpl w:val="CEC85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63616C"/>
    <w:multiLevelType w:val="hybridMultilevel"/>
    <w:tmpl w:val="65A87C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F2C75"/>
    <w:multiLevelType w:val="hybridMultilevel"/>
    <w:tmpl w:val="794AA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7640F1"/>
    <w:multiLevelType w:val="hybridMultilevel"/>
    <w:tmpl w:val="35AC7C86"/>
    <w:lvl w:ilvl="0" w:tplc="B77CB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DD71EF"/>
    <w:multiLevelType w:val="multilevel"/>
    <w:tmpl w:val="EFC266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3C15DBF"/>
    <w:multiLevelType w:val="hybridMultilevel"/>
    <w:tmpl w:val="0A163F1E"/>
    <w:lvl w:ilvl="0" w:tplc="0BDA23F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8061A46"/>
    <w:multiLevelType w:val="hybridMultilevel"/>
    <w:tmpl w:val="F4504E74"/>
    <w:lvl w:ilvl="0" w:tplc="B77CBB6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9">
    <w:nsid w:val="673351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6FB4F65"/>
    <w:multiLevelType w:val="multilevel"/>
    <w:tmpl w:val="245C2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10"/>
  </w:num>
  <w:num w:numId="5">
    <w:abstractNumId w:val="11"/>
  </w:num>
  <w:num w:numId="6">
    <w:abstractNumId w:val="12"/>
  </w:num>
  <w:num w:numId="7">
    <w:abstractNumId w:val="23"/>
  </w:num>
  <w:num w:numId="8">
    <w:abstractNumId w:val="13"/>
  </w:num>
  <w:num w:numId="9">
    <w:abstractNumId w:val="1"/>
  </w:num>
  <w:num w:numId="10">
    <w:abstractNumId w:val="8"/>
  </w:num>
  <w:num w:numId="11">
    <w:abstractNumId w:val="20"/>
  </w:num>
  <w:num w:numId="12">
    <w:abstractNumId w:val="19"/>
  </w:num>
  <w:num w:numId="13">
    <w:abstractNumId w:val="16"/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78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509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29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4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69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8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0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29" w:hanging="180"/>
        </w:pPr>
        <w:rPr>
          <w:rFonts w:hint="default"/>
        </w:rPr>
      </w:lvl>
    </w:lvlOverride>
  </w:num>
  <w:num w:numId="15">
    <w:abstractNumId w:val="6"/>
  </w:num>
  <w:num w:numId="16">
    <w:abstractNumId w:val="9"/>
  </w:num>
  <w:num w:numId="17">
    <w:abstractNumId w:val="15"/>
  </w:num>
  <w:num w:numId="18">
    <w:abstractNumId w:val="18"/>
  </w:num>
  <w:num w:numId="19">
    <w:abstractNumId w:val="7"/>
  </w:num>
  <w:num w:numId="20">
    <w:abstractNumId w:val="14"/>
  </w:num>
  <w:num w:numId="21">
    <w:abstractNumId w:val="5"/>
  </w:num>
  <w:num w:numId="22">
    <w:abstractNumId w:val="0"/>
  </w:num>
  <w:num w:numId="23">
    <w:abstractNumId w:val="2"/>
  </w:num>
  <w:num w:numId="24">
    <w:abstractNumId w:val="4"/>
  </w:num>
  <w:num w:numId="2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140D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4F8B"/>
    <w:rsid w:val="000D5FA8"/>
    <w:rsid w:val="000D67D7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194B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00FA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875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3872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6E91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BC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61D4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4ECE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6D19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19E5"/>
    <w:rsid w:val="0053431D"/>
    <w:rsid w:val="005343A5"/>
    <w:rsid w:val="005350FA"/>
    <w:rsid w:val="0053546A"/>
    <w:rsid w:val="00535939"/>
    <w:rsid w:val="00535A15"/>
    <w:rsid w:val="00536489"/>
    <w:rsid w:val="00536C4E"/>
    <w:rsid w:val="00537E6B"/>
    <w:rsid w:val="005400E5"/>
    <w:rsid w:val="0054193E"/>
    <w:rsid w:val="00542005"/>
    <w:rsid w:val="00543665"/>
    <w:rsid w:val="00543A63"/>
    <w:rsid w:val="0054673D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396A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6471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3AE4"/>
    <w:rsid w:val="00694715"/>
    <w:rsid w:val="00696012"/>
    <w:rsid w:val="006961EC"/>
    <w:rsid w:val="006969D6"/>
    <w:rsid w:val="00696D37"/>
    <w:rsid w:val="00697D61"/>
    <w:rsid w:val="006A027E"/>
    <w:rsid w:val="006A0ADB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5107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22BE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0A6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A7BB5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38D4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2E21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03E8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749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AF7465"/>
    <w:rsid w:val="00B0001A"/>
    <w:rsid w:val="00B00536"/>
    <w:rsid w:val="00B053DD"/>
    <w:rsid w:val="00B060CC"/>
    <w:rsid w:val="00B06ADB"/>
    <w:rsid w:val="00B10F44"/>
    <w:rsid w:val="00B1141F"/>
    <w:rsid w:val="00B146FA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0F72"/>
    <w:rsid w:val="00B6139A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6809"/>
    <w:rsid w:val="00BA7A7B"/>
    <w:rsid w:val="00BB04AA"/>
    <w:rsid w:val="00BB1005"/>
    <w:rsid w:val="00BB1118"/>
    <w:rsid w:val="00BB176C"/>
    <w:rsid w:val="00BB203A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538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202B3"/>
    <w:rsid w:val="00C210AE"/>
    <w:rsid w:val="00C221AD"/>
    <w:rsid w:val="00C24397"/>
    <w:rsid w:val="00C254A0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388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5B2B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1E3D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5B64"/>
    <w:rsid w:val="00D1621A"/>
    <w:rsid w:val="00D1649A"/>
    <w:rsid w:val="00D2195A"/>
    <w:rsid w:val="00D22856"/>
    <w:rsid w:val="00D232F9"/>
    <w:rsid w:val="00D242BD"/>
    <w:rsid w:val="00D2527A"/>
    <w:rsid w:val="00D26813"/>
    <w:rsid w:val="00D31523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419"/>
    <w:rsid w:val="00D7669C"/>
    <w:rsid w:val="00D7685C"/>
    <w:rsid w:val="00D76E3C"/>
    <w:rsid w:val="00D77411"/>
    <w:rsid w:val="00D8026A"/>
    <w:rsid w:val="00D80A6F"/>
    <w:rsid w:val="00D80E7A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6B3"/>
    <w:rsid w:val="00DE4B76"/>
    <w:rsid w:val="00DE7856"/>
    <w:rsid w:val="00DE7B0B"/>
    <w:rsid w:val="00DF40D2"/>
    <w:rsid w:val="00DF6B68"/>
    <w:rsid w:val="00DF7BCB"/>
    <w:rsid w:val="00E00741"/>
    <w:rsid w:val="00E01434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0A98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0715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3D6D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4C14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66856"/>
    <w:rsid w:val="00F66D76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2E59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EB5B-6AAD-44FC-9059-FF85475F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3</cp:revision>
  <cp:lastPrinted>2022-08-16T14:46:00Z</cp:lastPrinted>
  <dcterms:created xsi:type="dcterms:W3CDTF">2023-05-02T09:07:00Z</dcterms:created>
  <dcterms:modified xsi:type="dcterms:W3CDTF">2023-05-10T06:37:00Z</dcterms:modified>
</cp:coreProperties>
</file>