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DA3F61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3D6872"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9040C6" w:rsidRPr="009040C6" w:rsidRDefault="009040C6" w:rsidP="009040C6">
      <w:pPr>
        <w:pStyle w:val="a7"/>
        <w:numPr>
          <w:ilvl w:val="0"/>
          <w:numId w:val="44"/>
        </w:numPr>
        <w:jc w:val="both"/>
        <w:rPr>
          <w:bCs/>
          <w:sz w:val="28"/>
          <w:szCs w:val="28"/>
        </w:rPr>
      </w:pPr>
      <w:r w:rsidRPr="009040C6">
        <w:rPr>
          <w:sz w:val="28"/>
          <w:szCs w:val="28"/>
          <w:lang w:val="x-none" w:eastAsia="x-none"/>
        </w:rPr>
        <w:t xml:space="preserve">Об одобрении </w:t>
      </w:r>
      <w:r w:rsidRPr="009040C6">
        <w:rPr>
          <w:sz w:val="28"/>
          <w:szCs w:val="28"/>
        </w:rPr>
        <w:t>проекта изменений, вносимых в инвестиционную программу АО 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 33@)</w:t>
      </w:r>
      <w:r w:rsidRPr="009040C6">
        <w:rPr>
          <w:bCs/>
          <w:sz w:val="28"/>
          <w:szCs w:val="28"/>
        </w:rPr>
        <w:t>.</w:t>
      </w:r>
    </w:p>
    <w:p w:rsidR="008249D3" w:rsidRDefault="008249D3" w:rsidP="00892B75">
      <w:pPr>
        <w:rPr>
          <w:rFonts w:eastAsiaTheme="minorHAnsi"/>
          <w:b/>
          <w:sz w:val="28"/>
          <w:szCs w:val="28"/>
          <w:lang w:eastAsia="en-US"/>
        </w:rPr>
      </w:pPr>
    </w:p>
    <w:p w:rsidR="009040C6" w:rsidRDefault="0088629E" w:rsidP="009040C6">
      <w:pPr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9040C6" w:rsidRPr="00E55716">
        <w:rPr>
          <w:sz w:val="28"/>
          <w:szCs w:val="28"/>
          <w:lang w:val="x-none" w:eastAsia="x-none"/>
        </w:rPr>
        <w:t xml:space="preserve">Об одобрении </w:t>
      </w:r>
      <w:r w:rsidR="009040C6" w:rsidRPr="00E55716">
        <w:rPr>
          <w:sz w:val="28"/>
          <w:szCs w:val="28"/>
        </w:rPr>
        <w:t>проекта изменений, вносимых в инвестиционную программу АО «Янтарьэнерго» на период 2016-2020 годы, утвержденную приказом Минэнерго России от 25.12.2015 № 1036 (с учетом изменений, внесенных приказом Минэнерго России от 29.12.2017 № 33@)</w:t>
      </w:r>
      <w:r w:rsidR="009040C6" w:rsidRPr="00E55716">
        <w:rPr>
          <w:bCs/>
          <w:sz w:val="28"/>
          <w:szCs w:val="28"/>
        </w:rPr>
        <w:t>.</w:t>
      </w:r>
    </w:p>
    <w:p w:rsidR="00EB4A71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040C6" w:rsidRPr="009040C6" w:rsidRDefault="009040C6" w:rsidP="009040C6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>Одобрить проект изменений, вносимых в инвестиционную программу АО «Янтарьэнерго» на 2016-2020 годы</w:t>
      </w:r>
      <w:r w:rsidRPr="009040C6">
        <w:rPr>
          <w:color w:val="000000"/>
          <w:sz w:val="28"/>
          <w:szCs w:val="28"/>
        </w:rPr>
        <w:t>, 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 1036 </w:t>
      </w:r>
      <w:r w:rsidRPr="009040C6">
        <w:rPr>
          <w:color w:val="000000"/>
          <w:sz w:val="28"/>
          <w:szCs w:val="28"/>
        </w:rPr>
        <w:t>с учетом изменений, внесенных приказом Минэнерго России от 29.12.2017 № 33@.</w:t>
      </w:r>
      <w:r w:rsidRPr="009040C6">
        <w:rPr>
          <w:sz w:val="28"/>
          <w:szCs w:val="28"/>
        </w:rPr>
        <w:t xml:space="preserve"> </w:t>
      </w:r>
    </w:p>
    <w:p w:rsidR="009040C6" w:rsidRPr="009040C6" w:rsidRDefault="009040C6" w:rsidP="009040C6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>Поручить Единоличному исполнительному органу АО «Янтарьэнерго»: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2.1. Организовать утверждение проекта изменений, вносимых в инвестиционную программу 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 xml:space="preserve">с </w:t>
      </w:r>
      <w:r w:rsidRPr="009040C6">
        <w:rPr>
          <w:color w:val="000000"/>
          <w:sz w:val="28"/>
          <w:szCs w:val="28"/>
        </w:rPr>
        <w:lastRenderedPageBreak/>
        <w:t xml:space="preserve">учетом изменений, внесенных приказом Минэнерго России от 29.12.2017 № 33@), </w:t>
      </w:r>
      <w:r w:rsidRPr="009040C6">
        <w:rPr>
          <w:sz w:val="28"/>
          <w:szCs w:val="28"/>
        </w:rPr>
        <w:t>в Министерстве энергетики Российской Федерации в порядке, установленном Постановлением Правительства Российской Федерации от 01 декабря 2009 года № 977 «Об инвестиционных программах субъектов электроэнергетики»;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2.2. Предоставить отчет об исполнении п. 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календарных дней после утверждения проекта изменений, вносимых в инвестиционную программу 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 xml:space="preserve">с учетом изменений, внесенных приказом Минэнерго России от 29.12.2017 № 33@), </w:t>
      </w:r>
      <w:r w:rsidRPr="009040C6">
        <w:rPr>
          <w:sz w:val="28"/>
          <w:szCs w:val="28"/>
        </w:rPr>
        <w:t>в порядке, установленном Постановлением Правительства Российской Федерации от 01 декабря 2009 года № 977 «Об инвестиционных программах субъектов электроэнергетики»;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>2.3. Обеспечить повторное рассмотрение на заседании Совета директоров Общества проекта изменений, вноси</w:t>
      </w:r>
      <w:r w:rsidR="00C607E2">
        <w:rPr>
          <w:sz w:val="28"/>
          <w:szCs w:val="28"/>
        </w:rPr>
        <w:t xml:space="preserve">мых в инвестиционную программу </w:t>
      </w:r>
      <w:r w:rsidRPr="009040C6">
        <w:rPr>
          <w:sz w:val="28"/>
          <w:szCs w:val="28"/>
        </w:rPr>
        <w:t xml:space="preserve">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>с учетом изменений, внесенных приказом Минэнерго России от 29.12.2017 № 33@)</w:t>
      </w:r>
      <w:r w:rsidRPr="009040C6">
        <w:rPr>
          <w:sz w:val="28"/>
          <w:szCs w:val="28"/>
        </w:rPr>
        <w:t>, доработанного по результатам устранения замечаний в срок не позднее 31.05.2019 года.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249D3" w:rsidRDefault="0062730C" w:rsidP="00146560">
      <w:pPr>
        <w:widowControl w:val="0"/>
        <w:tabs>
          <w:tab w:val="left" w:pos="2550"/>
        </w:tabs>
        <w:jc w:val="both"/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E60D6B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E60D6B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9040C6" w:rsidRPr="009040C6" w:rsidRDefault="009040C6" w:rsidP="00E60D6B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Одобрить проект изменений, вносимых в инвестиционную программу АО «Янтарьэнерго» на 2016-2020 годы, утвержденную приказом Минэнерго России от 25.12.2015 года № 1036 с учетом изменений, внесенных приказом Минэнерго России от 29.12.2017 № 33@. </w:t>
      </w:r>
    </w:p>
    <w:p w:rsidR="009040C6" w:rsidRPr="009040C6" w:rsidRDefault="009040C6" w:rsidP="009040C6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Поручить Единоличному исполнительному органу </w:t>
      </w:r>
      <w:r w:rsidR="00836A16">
        <w:rPr>
          <w:sz w:val="28"/>
          <w:szCs w:val="28"/>
        </w:rPr>
        <w:t xml:space="preserve">                                              </w:t>
      </w:r>
      <w:r w:rsidRPr="009040C6">
        <w:rPr>
          <w:sz w:val="28"/>
          <w:szCs w:val="28"/>
        </w:rPr>
        <w:t>АО «Янтарьэнерго»: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2.1. Организовать утверждение проекта изменений, вносимых в инвестиционную программу 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 xml:space="preserve">с </w:t>
      </w:r>
      <w:r w:rsidRPr="009040C6">
        <w:rPr>
          <w:color w:val="000000"/>
          <w:sz w:val="28"/>
          <w:szCs w:val="28"/>
        </w:rPr>
        <w:lastRenderedPageBreak/>
        <w:t xml:space="preserve">учетом изменений, внесенных приказом Минэнерго России от 29.12.2017 № 33@), </w:t>
      </w:r>
      <w:r w:rsidRPr="009040C6">
        <w:rPr>
          <w:sz w:val="28"/>
          <w:szCs w:val="28"/>
        </w:rPr>
        <w:t>в Министерстве энергетики Российской Федерации в порядке, установленном Постановлением Правительства Российской Федерации от 01 декабря 2009 года № 977 «Об инвестиционных программах субъектов электроэнергетики»;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2.2. Предоставить отчет об исполнении п. 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календарных дней после утверждения проекта изменений, вносимых в инвестиционную программу 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 xml:space="preserve">с учетом изменений, внесенных приказом Минэнерго России от 29.12.2017 № 33@), </w:t>
      </w:r>
      <w:r w:rsidRPr="009040C6">
        <w:rPr>
          <w:sz w:val="28"/>
          <w:szCs w:val="28"/>
        </w:rPr>
        <w:t>в порядке, установленном Постановлением Правительства Российской Федерации от 01 декабря 2009 года № 977 «Об инвестиционных программах субъектов электроэнергетики»;</w:t>
      </w:r>
    </w:p>
    <w:p w:rsidR="009040C6" w:rsidRPr="009040C6" w:rsidRDefault="009040C6" w:rsidP="009040C6">
      <w:pPr>
        <w:ind w:firstLine="709"/>
        <w:jc w:val="both"/>
        <w:rPr>
          <w:sz w:val="28"/>
          <w:szCs w:val="28"/>
        </w:rPr>
      </w:pPr>
      <w:r w:rsidRPr="009040C6">
        <w:rPr>
          <w:sz w:val="28"/>
          <w:szCs w:val="28"/>
        </w:rPr>
        <w:t xml:space="preserve">2.3. Обеспечить повторное рассмотрение на заседании Совета директоров Общества проекта изменений, вносимых в инвестиционную программу </w:t>
      </w:r>
      <w:bookmarkStart w:id="0" w:name="_GoBack"/>
      <w:bookmarkEnd w:id="0"/>
      <w:r w:rsidRPr="009040C6">
        <w:rPr>
          <w:sz w:val="28"/>
          <w:szCs w:val="28"/>
        </w:rPr>
        <w:t xml:space="preserve">АО «Янтарьэнерго» на период 2016-2020 годы, </w:t>
      </w:r>
      <w:r w:rsidRPr="009040C6">
        <w:rPr>
          <w:color w:val="000000"/>
          <w:sz w:val="28"/>
          <w:szCs w:val="28"/>
        </w:rPr>
        <w:t>утвержденную</w:t>
      </w:r>
      <w:r w:rsidRPr="009040C6">
        <w:rPr>
          <w:sz w:val="28"/>
          <w:szCs w:val="28"/>
        </w:rPr>
        <w:t xml:space="preserve"> приказом Минэнерго России от 25.12.2015 года № 1036 (</w:t>
      </w:r>
      <w:r w:rsidRPr="009040C6">
        <w:rPr>
          <w:color w:val="000000"/>
          <w:sz w:val="28"/>
          <w:szCs w:val="28"/>
        </w:rPr>
        <w:t>с учетом изменений, внесенных приказом Минэнерго России от 29.12.2017 № 33@)</w:t>
      </w:r>
      <w:r w:rsidRPr="009040C6">
        <w:rPr>
          <w:sz w:val="28"/>
          <w:szCs w:val="28"/>
        </w:rPr>
        <w:t>, доработанного по результатам устранения замечаний в срок не позднее 31.05.2019 года.</w:t>
      </w:r>
    </w:p>
    <w:p w:rsidR="009040C6" w:rsidRPr="00892B75" w:rsidRDefault="009040C6" w:rsidP="00146560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DA3F61">
        <w:rPr>
          <w:rFonts w:eastAsiaTheme="minorHAnsi"/>
          <w:bCs/>
          <w:color w:val="000000"/>
          <w:sz w:val="28"/>
          <w:szCs w:val="28"/>
          <w:lang w:eastAsia="en-US"/>
        </w:rPr>
        <w:t>25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E68BE">
        <w:rPr>
          <w:rFonts w:eastAsiaTheme="minorHAnsi"/>
          <w:bCs/>
          <w:color w:val="000000"/>
          <w:sz w:val="28"/>
          <w:szCs w:val="28"/>
          <w:lang w:eastAsia="en-US"/>
        </w:rPr>
        <w:t>февраля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D4" w:rsidRDefault="001F19D4" w:rsidP="001D1CEA">
      <w:r>
        <w:separator/>
      </w:r>
    </w:p>
  </w:endnote>
  <w:endnote w:type="continuationSeparator" w:id="0">
    <w:p w:rsidR="001F19D4" w:rsidRDefault="001F19D4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D4" w:rsidRDefault="001F19D4" w:rsidP="001D1CEA">
      <w:r>
        <w:separator/>
      </w:r>
    </w:p>
  </w:footnote>
  <w:footnote w:type="continuationSeparator" w:id="0">
    <w:p w:rsidR="001F19D4" w:rsidRDefault="001F19D4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A16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A34279"/>
    <w:multiLevelType w:val="hybridMultilevel"/>
    <w:tmpl w:val="D796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A247FD"/>
    <w:multiLevelType w:val="hybridMultilevel"/>
    <w:tmpl w:val="1AA20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9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64DF9"/>
    <w:multiLevelType w:val="hybridMultilevel"/>
    <w:tmpl w:val="1AA20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6"/>
  </w:num>
  <w:num w:numId="3">
    <w:abstractNumId w:val="26"/>
  </w:num>
  <w:num w:numId="4">
    <w:abstractNumId w:val="28"/>
  </w:num>
  <w:num w:numId="5">
    <w:abstractNumId w:val="11"/>
  </w:num>
  <w:num w:numId="6">
    <w:abstractNumId w:val="35"/>
  </w:num>
  <w:num w:numId="7">
    <w:abstractNumId w:val="29"/>
  </w:num>
  <w:num w:numId="8">
    <w:abstractNumId w:val="22"/>
  </w:num>
  <w:num w:numId="9">
    <w:abstractNumId w:val="21"/>
  </w:num>
  <w:num w:numId="10">
    <w:abstractNumId w:val="10"/>
  </w:num>
  <w:num w:numId="11">
    <w:abstractNumId w:val="4"/>
  </w:num>
  <w:num w:numId="12">
    <w:abstractNumId w:val="1"/>
  </w:num>
  <w:num w:numId="13">
    <w:abstractNumId w:val="44"/>
  </w:num>
  <w:num w:numId="14">
    <w:abstractNumId w:val="13"/>
  </w:num>
  <w:num w:numId="15">
    <w:abstractNumId w:val="38"/>
  </w:num>
  <w:num w:numId="16">
    <w:abstractNumId w:val="37"/>
  </w:num>
  <w:num w:numId="17">
    <w:abstractNumId w:val="14"/>
  </w:num>
  <w:num w:numId="18">
    <w:abstractNumId w:val="40"/>
  </w:num>
  <w:num w:numId="19">
    <w:abstractNumId w:val="41"/>
  </w:num>
  <w:num w:numId="20">
    <w:abstractNumId w:val="7"/>
  </w:num>
  <w:num w:numId="21">
    <w:abstractNumId w:val="32"/>
  </w:num>
  <w:num w:numId="22">
    <w:abstractNumId w:val="19"/>
  </w:num>
  <w:num w:numId="23">
    <w:abstractNumId w:val="23"/>
  </w:num>
  <w:num w:numId="24">
    <w:abstractNumId w:val="9"/>
  </w:num>
  <w:num w:numId="25">
    <w:abstractNumId w:val="20"/>
  </w:num>
  <w:num w:numId="26">
    <w:abstractNumId w:val="0"/>
  </w:num>
  <w:num w:numId="27">
    <w:abstractNumId w:val="34"/>
  </w:num>
  <w:num w:numId="28">
    <w:abstractNumId w:val="3"/>
  </w:num>
  <w:num w:numId="29">
    <w:abstractNumId w:val="18"/>
  </w:num>
  <w:num w:numId="30">
    <w:abstractNumId w:val="5"/>
  </w:num>
  <w:num w:numId="31">
    <w:abstractNumId w:val="25"/>
  </w:num>
  <w:num w:numId="32">
    <w:abstractNumId w:val="17"/>
  </w:num>
  <w:num w:numId="33">
    <w:abstractNumId w:val="31"/>
  </w:num>
  <w:num w:numId="34">
    <w:abstractNumId w:val="24"/>
  </w:num>
  <w:num w:numId="35">
    <w:abstractNumId w:val="43"/>
  </w:num>
  <w:num w:numId="36">
    <w:abstractNumId w:val="30"/>
  </w:num>
  <w:num w:numId="37">
    <w:abstractNumId w:val="33"/>
  </w:num>
  <w:num w:numId="38">
    <w:abstractNumId w:val="42"/>
  </w:num>
  <w:num w:numId="39">
    <w:abstractNumId w:val="6"/>
  </w:num>
  <w:num w:numId="40">
    <w:abstractNumId w:val="8"/>
  </w:num>
  <w:num w:numId="41">
    <w:abstractNumId w:val="2"/>
  </w:num>
  <w:num w:numId="42">
    <w:abstractNumId w:val="36"/>
  </w:num>
  <w:num w:numId="43">
    <w:abstractNumId w:val="39"/>
  </w:num>
  <w:num w:numId="44">
    <w:abstractNumId w:val="12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19D4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A16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0C6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07E2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3F61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0D6B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1E2D-3FE9-4748-8C11-1AF143F7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37</cp:revision>
  <cp:lastPrinted>2018-12-21T06:56:00Z</cp:lastPrinted>
  <dcterms:created xsi:type="dcterms:W3CDTF">2018-12-27T15:19:00Z</dcterms:created>
  <dcterms:modified xsi:type="dcterms:W3CDTF">2019-02-25T11:29:00Z</dcterms:modified>
</cp:coreProperties>
</file>