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Default="007D70BF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3E148C">
        <w:rPr>
          <w:rFonts w:eastAsiaTheme="minorHAnsi"/>
          <w:b/>
          <w:bCs/>
          <w:sz w:val="28"/>
          <w:szCs w:val="28"/>
          <w:lang w:eastAsia="en-US"/>
        </w:rPr>
        <w:t>3</w:t>
      </w:r>
      <w:r>
        <w:rPr>
          <w:rFonts w:eastAsiaTheme="minorHAnsi"/>
          <w:b/>
          <w:bCs/>
          <w:sz w:val="28"/>
          <w:szCs w:val="28"/>
          <w:lang w:eastAsia="en-US"/>
        </w:rPr>
        <w:t>8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249D3" w:rsidRDefault="008249D3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5C6A02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5C6A02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5C6A02">
        <w:t xml:space="preserve"> </w:t>
      </w:r>
      <w:r w:rsidRPr="005C6A02">
        <w:rPr>
          <w:sz w:val="28"/>
          <w:szCs w:val="28"/>
        </w:rPr>
        <w:t xml:space="preserve">Бычко М.А., </w:t>
      </w:r>
      <w:r w:rsidRPr="005C6A02">
        <w:rPr>
          <w:rFonts w:eastAsiaTheme="minorHAnsi"/>
          <w:sz w:val="28"/>
          <w:szCs w:val="28"/>
          <w:lang w:eastAsia="en-US"/>
        </w:rPr>
        <w:t xml:space="preserve">Колесников М.А, Ожерельев А. А., </w:t>
      </w:r>
      <w:r w:rsidR="00B741F8" w:rsidRPr="005C6A02">
        <w:rPr>
          <w:rFonts w:eastAsiaTheme="minorHAnsi"/>
          <w:sz w:val="28"/>
          <w:szCs w:val="28"/>
          <w:lang w:eastAsia="en-US"/>
        </w:rPr>
        <w:t>Ольхович Е.А.,</w:t>
      </w:r>
      <w:r w:rsidRPr="005C6A02">
        <w:rPr>
          <w:sz w:val="28"/>
          <w:szCs w:val="28"/>
        </w:rPr>
        <w:t xml:space="preserve"> </w:t>
      </w:r>
      <w:r w:rsidRPr="005C6A02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5C6A02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741F8" w:rsidRPr="005C6A02">
        <w:rPr>
          <w:rFonts w:eastAsiaTheme="minorHAnsi"/>
          <w:sz w:val="28"/>
          <w:szCs w:val="28"/>
          <w:lang w:eastAsia="en-US"/>
        </w:rPr>
        <w:t>7</w:t>
      </w:r>
      <w:r w:rsidRPr="005C6A02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5C6A02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B473D7" w:rsidRPr="00B473D7" w:rsidRDefault="00B473D7" w:rsidP="00B473D7">
      <w:pPr>
        <w:numPr>
          <w:ilvl w:val="0"/>
          <w:numId w:val="21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B473D7">
        <w:rPr>
          <w:color w:val="000000"/>
          <w:spacing w:val="-3"/>
          <w:w w:val="102"/>
          <w:sz w:val="28"/>
          <w:szCs w:val="28"/>
        </w:rPr>
        <w:t>О рассмотрении отчета Генерального директора Общества о ходе реализации инвестиционного проекта «Строительство интеллектуальных сетей на территории Калининградской области».</w:t>
      </w:r>
    </w:p>
    <w:p w:rsidR="00B473D7" w:rsidRPr="00B473D7" w:rsidRDefault="00B473D7" w:rsidP="00B473D7">
      <w:pPr>
        <w:numPr>
          <w:ilvl w:val="0"/>
          <w:numId w:val="21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B473D7">
        <w:rPr>
          <w:color w:val="000000"/>
          <w:spacing w:val="-3"/>
          <w:w w:val="102"/>
          <w:sz w:val="28"/>
          <w:szCs w:val="28"/>
        </w:rPr>
        <w:t>О рассмотрении отчета Генерального директора АО «Янтарьэнерго» об обеспечении страховой защиты в 1 квартале 2019 г.</w:t>
      </w:r>
    </w:p>
    <w:p w:rsidR="00B473D7" w:rsidRPr="00B473D7" w:rsidRDefault="00B473D7" w:rsidP="00B473D7">
      <w:pPr>
        <w:numPr>
          <w:ilvl w:val="0"/>
          <w:numId w:val="21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B473D7">
        <w:rPr>
          <w:color w:val="000000"/>
          <w:spacing w:val="-3"/>
          <w:w w:val="102"/>
          <w:sz w:val="28"/>
          <w:szCs w:val="28"/>
        </w:rPr>
        <w:t>Отчет о ходе реализации инвестиционных проектов АО «Янтарьэнерго», включенных в перечень приоритетных объектов, за 1 квартал 2019 года.</w:t>
      </w:r>
    </w:p>
    <w:p w:rsidR="00B473D7" w:rsidRPr="00B473D7" w:rsidRDefault="00B473D7" w:rsidP="00B473D7">
      <w:pPr>
        <w:numPr>
          <w:ilvl w:val="0"/>
          <w:numId w:val="21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B473D7">
        <w:rPr>
          <w:color w:val="000000"/>
          <w:spacing w:val="-3"/>
          <w:w w:val="102"/>
          <w:sz w:val="28"/>
          <w:szCs w:val="28"/>
        </w:rPr>
        <w:t>Об утверждении Положения о выплате вознаграждений и компенсаций членам Комитета по технологическому пр</w:t>
      </w:r>
      <w:r w:rsidR="00534161">
        <w:rPr>
          <w:color w:val="000000"/>
          <w:spacing w:val="-3"/>
          <w:w w:val="102"/>
          <w:sz w:val="28"/>
          <w:szCs w:val="28"/>
        </w:rPr>
        <w:t xml:space="preserve">исоединению Совета директоров </w:t>
      </w:r>
      <w:bookmarkStart w:id="0" w:name="_GoBack"/>
      <w:bookmarkEnd w:id="0"/>
      <w:r w:rsidRPr="00B473D7">
        <w:rPr>
          <w:color w:val="000000"/>
          <w:spacing w:val="-3"/>
          <w:w w:val="102"/>
          <w:sz w:val="28"/>
          <w:szCs w:val="28"/>
        </w:rPr>
        <w:t>АО «Янтарьэнерго».</w:t>
      </w:r>
    </w:p>
    <w:p w:rsidR="00B473D7" w:rsidRPr="00B473D7" w:rsidRDefault="00B473D7" w:rsidP="00B473D7">
      <w:pPr>
        <w:numPr>
          <w:ilvl w:val="0"/>
          <w:numId w:val="21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B473D7">
        <w:rPr>
          <w:color w:val="000000"/>
          <w:spacing w:val="-3"/>
          <w:w w:val="102"/>
          <w:sz w:val="28"/>
          <w:szCs w:val="28"/>
        </w:rPr>
        <w:t xml:space="preserve">О рассмотрении отчета об исполнении Бизнес – плана </w:t>
      </w:r>
      <w:r w:rsidR="00D51CE7">
        <w:rPr>
          <w:color w:val="000000"/>
          <w:spacing w:val="-3"/>
          <w:w w:val="102"/>
          <w:sz w:val="28"/>
          <w:szCs w:val="28"/>
        </w:rPr>
        <w:t xml:space="preserve">                                             </w:t>
      </w:r>
      <w:r w:rsidRPr="00B473D7">
        <w:rPr>
          <w:color w:val="000000"/>
          <w:spacing w:val="-3"/>
          <w:w w:val="102"/>
          <w:sz w:val="28"/>
          <w:szCs w:val="28"/>
        </w:rPr>
        <w:t>АО «Янтарьэнерго» за 2018 год.</w:t>
      </w:r>
    </w:p>
    <w:p w:rsidR="00B473D7" w:rsidRPr="00B473D7" w:rsidRDefault="00B473D7" w:rsidP="00B473D7">
      <w:pPr>
        <w:numPr>
          <w:ilvl w:val="0"/>
          <w:numId w:val="21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B473D7">
        <w:rPr>
          <w:color w:val="000000"/>
          <w:spacing w:val="-3"/>
          <w:w w:val="102"/>
          <w:sz w:val="28"/>
          <w:szCs w:val="28"/>
        </w:rPr>
        <w:t>Об определении позиции АО «Янтарьэнерго» в Совете директоров                           ОАО «Янтарьэнергосервис» по вопросу: «О рассмотрении отчета Генерального директора ОАО «Янтарьэнергосервис» об обеспечении страховой защиты в 1 квартале 2019 г.».</w:t>
      </w:r>
    </w:p>
    <w:p w:rsidR="00B473D7" w:rsidRPr="00B473D7" w:rsidRDefault="00B473D7" w:rsidP="00B473D7">
      <w:pPr>
        <w:numPr>
          <w:ilvl w:val="0"/>
          <w:numId w:val="21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B473D7">
        <w:rPr>
          <w:color w:val="000000"/>
          <w:spacing w:val="-3"/>
          <w:w w:val="102"/>
          <w:sz w:val="28"/>
          <w:szCs w:val="28"/>
        </w:rPr>
        <w:t>Об определении позиции АО «Янтарьэнерго» в Совете директоров                          ОАО «Янтарьэнергосбыт» по вопросу: «Об утверждении кандидатур страховых организаций для заключения договоров страхования Общества».</w:t>
      </w:r>
    </w:p>
    <w:p w:rsidR="00B473D7" w:rsidRPr="00B473D7" w:rsidRDefault="00B473D7" w:rsidP="00B473D7">
      <w:pPr>
        <w:numPr>
          <w:ilvl w:val="0"/>
          <w:numId w:val="21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B473D7">
        <w:rPr>
          <w:color w:val="000000"/>
          <w:spacing w:val="-3"/>
          <w:w w:val="102"/>
          <w:sz w:val="28"/>
          <w:szCs w:val="28"/>
        </w:rPr>
        <w:lastRenderedPageBreak/>
        <w:t xml:space="preserve">Об определении позиции АО «Янтарьэнерго» по вопросам повесток дня заседаний Советов директоров и Общих собраний акционеров                                     </w:t>
      </w:r>
      <w:proofErr w:type="gramStart"/>
      <w:r w:rsidRPr="00B473D7">
        <w:rPr>
          <w:color w:val="000000"/>
          <w:spacing w:val="-3"/>
          <w:w w:val="102"/>
          <w:sz w:val="28"/>
          <w:szCs w:val="28"/>
        </w:rPr>
        <w:t>ДЗО  АО</w:t>
      </w:r>
      <w:proofErr w:type="gramEnd"/>
      <w:r w:rsidRPr="00B473D7">
        <w:rPr>
          <w:color w:val="000000"/>
          <w:spacing w:val="-3"/>
          <w:w w:val="102"/>
          <w:sz w:val="28"/>
          <w:szCs w:val="28"/>
        </w:rPr>
        <w:t xml:space="preserve"> «Янтарьэнерго».</w:t>
      </w:r>
    </w:p>
    <w:p w:rsidR="00B473D7" w:rsidRDefault="00B473D7" w:rsidP="00B473D7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473D7" w:rsidRPr="00A32A15" w:rsidRDefault="0088629E" w:rsidP="00B473D7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B473D7" w:rsidRPr="00A32A15">
        <w:rPr>
          <w:sz w:val="28"/>
          <w:szCs w:val="28"/>
        </w:rPr>
        <w:t>О рассмотрении отчета Генерального директора Общества о ходе реализации инвестиционного проекта «Строительство интеллектуальных сетей на территории Калининградской области».</w:t>
      </w:r>
    </w:p>
    <w:p w:rsidR="007E41D3" w:rsidRDefault="00BB215F" w:rsidP="007E41D3">
      <w:pPr>
        <w:tabs>
          <w:tab w:val="right" w:pos="9356"/>
        </w:tabs>
        <w:contextualSpacing/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7E41D3" w:rsidRPr="00A32A15">
        <w:rPr>
          <w:sz w:val="28"/>
          <w:szCs w:val="28"/>
        </w:rPr>
        <w:t xml:space="preserve">Принять к сведению отчет Генерального директора </w:t>
      </w:r>
      <w:r w:rsidR="007E41D3" w:rsidRPr="00A32A15">
        <w:rPr>
          <w:snapToGrid w:val="0"/>
          <w:sz w:val="28"/>
          <w:szCs w:val="28"/>
        </w:rPr>
        <w:t>АО «Янтарьэнерго»</w:t>
      </w:r>
      <w:r w:rsidR="007E41D3" w:rsidRPr="00A32A15">
        <w:rPr>
          <w:b/>
          <w:sz w:val="28"/>
          <w:szCs w:val="28"/>
        </w:rPr>
        <w:t xml:space="preserve"> </w:t>
      </w:r>
      <w:r w:rsidR="007E41D3" w:rsidRPr="00A32A15">
        <w:rPr>
          <w:sz w:val="28"/>
          <w:szCs w:val="28"/>
        </w:rPr>
        <w:t>о ходе реализации инвестиционного проекта «Строительство интеллектуальных сетей на территории Калининградской области» согласно Приложению № 1 к настоящему решению Совета директоров Общества.</w:t>
      </w: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572B" w:rsidRPr="0088629E" w:rsidTr="0070502F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70502F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c>
          <w:tcPr>
            <w:tcW w:w="4583" w:type="dxa"/>
            <w:tcBorders>
              <w:right w:val="single" w:sz="4" w:space="0" w:color="auto"/>
            </w:tcBorders>
          </w:tcPr>
          <w:p w:rsidR="000E572B" w:rsidRPr="00FA3CAA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A3CAA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FA3CAA" w:rsidRDefault="00C77474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FA3CAA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FA3CAA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FA3CAA" w:rsidRDefault="00C77474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C66365" w:rsidTr="0070502F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F337B" w:rsidRDefault="00BF337B" w:rsidP="00BF337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E41D3" w:rsidRPr="004E0C9D" w:rsidRDefault="00BF337B" w:rsidP="007E41D3">
      <w:pPr>
        <w:jc w:val="both"/>
        <w:rPr>
          <w:b/>
          <w:bCs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7E41D3" w:rsidRPr="004E0C9D">
        <w:rPr>
          <w:bCs/>
          <w:sz w:val="28"/>
          <w:szCs w:val="28"/>
        </w:rPr>
        <w:t>О рассмотрении отчета Генерального директора АО «Янтарьэнерго» об обеспечении страховой защиты в 1 квартале 2019 г.</w:t>
      </w:r>
    </w:p>
    <w:p w:rsidR="007E41D3" w:rsidRPr="00F5629F" w:rsidRDefault="00BF337B" w:rsidP="007E41D3">
      <w:pPr>
        <w:widowControl w:val="0"/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7E41D3" w:rsidRPr="00F5629F">
        <w:rPr>
          <w:bCs/>
          <w:sz w:val="28"/>
          <w:szCs w:val="28"/>
        </w:rPr>
        <w:t>Принять к сведению отчет Генерального директора АО «Янтарьэнерго» об обеспечении страховой защиты в 1 квартале 2019 года согласно Приложению № 2 к настоящему решению Совета директоров Общества.</w:t>
      </w:r>
    </w:p>
    <w:p w:rsidR="00BF337B" w:rsidRDefault="00BF337B" w:rsidP="00BF337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BF337B" w:rsidRPr="0088629E" w:rsidTr="005708CC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F337B" w:rsidRPr="0088629E" w:rsidTr="005708CC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F337B" w:rsidRPr="0088629E" w:rsidTr="005708CC"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F337B" w:rsidRPr="00EE5B74" w:rsidRDefault="00BF337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F337B" w:rsidRPr="0088629E" w:rsidTr="005708CC"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5708CC">
        <w:tc>
          <w:tcPr>
            <w:tcW w:w="4583" w:type="dxa"/>
            <w:tcBorders>
              <w:right w:val="single" w:sz="4" w:space="0" w:color="auto"/>
            </w:tcBorders>
          </w:tcPr>
          <w:p w:rsidR="00BF337B" w:rsidRPr="0096087D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96087D" w:rsidRDefault="00587E53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96087D" w:rsidRDefault="00BF337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96087D" w:rsidRDefault="00587E53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2B77" w:rsidRPr="00C66365" w:rsidTr="005708CC">
        <w:tc>
          <w:tcPr>
            <w:tcW w:w="4583" w:type="dxa"/>
          </w:tcPr>
          <w:p w:rsidR="00F02B77" w:rsidRPr="00C66365" w:rsidRDefault="00F02B77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87E53" w:rsidRPr="0088629E" w:rsidTr="005708CC">
        <w:tc>
          <w:tcPr>
            <w:tcW w:w="4583" w:type="dxa"/>
          </w:tcPr>
          <w:p w:rsidR="00587E53" w:rsidRPr="00621818" w:rsidRDefault="00587E53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5708CC">
        <w:trPr>
          <w:trHeight w:val="310"/>
        </w:trPr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5708CC">
        <w:tc>
          <w:tcPr>
            <w:tcW w:w="4583" w:type="dxa"/>
          </w:tcPr>
          <w:p w:rsidR="00BF337B" w:rsidRPr="00621818" w:rsidRDefault="00BF337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F337B" w:rsidRDefault="00BF337B" w:rsidP="00BF337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E41D3" w:rsidRPr="00F865B8" w:rsidRDefault="00D16DFE" w:rsidP="007E41D3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3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7E41D3" w:rsidRPr="00F865B8">
        <w:rPr>
          <w:sz w:val="28"/>
          <w:szCs w:val="28"/>
        </w:rPr>
        <w:t>Отчет о ходе реализации инвестиционных проектов АО «Янтарьэнерго», включенных в перечень приоритетных объектов, за 1 квартал 2019 года.</w:t>
      </w:r>
    </w:p>
    <w:p w:rsidR="00832BD9" w:rsidRPr="00CE04C8" w:rsidRDefault="00D16DFE" w:rsidP="00832BD9">
      <w:pPr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832BD9" w:rsidRPr="00832BD9">
        <w:rPr>
          <w:sz w:val="28"/>
          <w:szCs w:val="28"/>
        </w:rPr>
        <w:t xml:space="preserve"> </w:t>
      </w:r>
      <w:r w:rsidR="007E41D3" w:rsidRPr="007708E7">
        <w:rPr>
          <w:sz w:val="28"/>
          <w:szCs w:val="28"/>
        </w:rPr>
        <w:t>Принять к сведению отчет о ходе реализации инвестиционных проектов АО «Янтарьэнерго», включенных в перечень приоритетных объектов, за 1 квартал 2019 года согласно Приложению № 3 к настоящему решению Совета директоров Общества.</w:t>
      </w:r>
    </w:p>
    <w:p w:rsidR="000E572B" w:rsidRDefault="000E572B" w:rsidP="006B0834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572B" w:rsidRPr="0088629E" w:rsidTr="005708CC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5708CC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5708CC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5708CC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708CC">
        <w:tc>
          <w:tcPr>
            <w:tcW w:w="4583" w:type="dxa"/>
            <w:tcBorders>
              <w:right w:val="single" w:sz="4" w:space="0" w:color="auto"/>
            </w:tcBorders>
          </w:tcPr>
          <w:p w:rsidR="000E572B" w:rsidRPr="0096087D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96087D" w:rsidRDefault="0096087D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96087D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96087D" w:rsidRDefault="0096087D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5708CC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708CC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708CC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708CC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9A333D" w:rsidRPr="00261452" w:rsidRDefault="00D16DFE" w:rsidP="009A333D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4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7E41D3" w:rsidRPr="00407EFE">
        <w:rPr>
          <w:sz w:val="28"/>
          <w:szCs w:val="28"/>
        </w:rPr>
        <w:t>Об утверждении Положения о выплате вознаграждений и компенсаций членам Комитета по технологическому присоединению Совета директоров АО «Янтарьэнерго»</w:t>
      </w:r>
      <w:r w:rsidR="007E41D3" w:rsidRPr="00407EFE">
        <w:rPr>
          <w:rFonts w:eastAsia="Calibri"/>
          <w:sz w:val="28"/>
          <w:szCs w:val="28"/>
        </w:rPr>
        <w:t>.</w:t>
      </w:r>
    </w:p>
    <w:p w:rsidR="00832BD9" w:rsidRDefault="00D16DFE" w:rsidP="00832BD9">
      <w:pPr>
        <w:pStyle w:val="af5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7E41D3" w:rsidRPr="008743AD">
        <w:rPr>
          <w:sz w:val="28"/>
          <w:szCs w:val="28"/>
        </w:rPr>
        <w:t>Утвердить «Положение о выплате вознаграждений и компенсаций членам Комитета по технологическому присоединению Совета директоров АО «Янтарьэнерго» согласно Приложению № 4 к настоящему решению Совета директоров Общества.</w:t>
      </w:r>
    </w:p>
    <w:p w:rsidR="00D16DFE" w:rsidRDefault="00D16DFE" w:rsidP="00D16DF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D16DFE" w:rsidRPr="0088629E" w:rsidTr="00BF3A07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16DFE" w:rsidRPr="0088629E" w:rsidTr="00BF3A07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88629E" w:rsidTr="00BF3A07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D16DFE" w:rsidRPr="00EE5B74" w:rsidRDefault="00D16DFE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16DFE" w:rsidRPr="0088629E" w:rsidTr="00BF3A07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BF3A07">
        <w:tc>
          <w:tcPr>
            <w:tcW w:w="4583" w:type="dxa"/>
            <w:tcBorders>
              <w:right w:val="single" w:sz="4" w:space="0" w:color="auto"/>
            </w:tcBorders>
          </w:tcPr>
          <w:p w:rsidR="00D16DFE" w:rsidRPr="00924AF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24AF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924AF4" w:rsidRDefault="00C77474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924AF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24AF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924AF4" w:rsidRDefault="00C77474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C66365" w:rsidTr="00BF3A07">
        <w:tc>
          <w:tcPr>
            <w:tcW w:w="4583" w:type="dxa"/>
          </w:tcPr>
          <w:p w:rsidR="00D16DFE" w:rsidRPr="00C66365" w:rsidRDefault="00D16DFE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BF3A07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BF3A07">
        <w:trPr>
          <w:trHeight w:val="310"/>
        </w:trPr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BF3A07">
        <w:tc>
          <w:tcPr>
            <w:tcW w:w="4583" w:type="dxa"/>
          </w:tcPr>
          <w:p w:rsidR="00D16DFE" w:rsidRPr="00621818" w:rsidRDefault="00D16DFE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8F8" w:rsidRDefault="00FF18F8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E41D3" w:rsidRPr="00554363" w:rsidRDefault="00D16DFE" w:rsidP="007E41D3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5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7E41D3" w:rsidRPr="00554363">
        <w:rPr>
          <w:sz w:val="28"/>
          <w:szCs w:val="28"/>
        </w:rPr>
        <w:t>О рассмотрении отчета об исполнении Бизнес – плана АО «Янтарьэнерго» за 2018 год.</w:t>
      </w:r>
    </w:p>
    <w:p w:rsidR="00D16DFE" w:rsidRDefault="00D16DFE" w:rsidP="00D16DFE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7E41D3" w:rsidRPr="008F7199" w:rsidRDefault="007E41D3" w:rsidP="007E41D3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8F7199">
        <w:rPr>
          <w:bCs/>
          <w:sz w:val="28"/>
          <w:szCs w:val="28"/>
        </w:rPr>
        <w:t xml:space="preserve">Принять к сведению отчет об исполнении Бизнес-плана </w:t>
      </w:r>
      <w:r w:rsidRPr="008F7199">
        <w:rPr>
          <w:bCs/>
          <w:sz w:val="28"/>
          <w:szCs w:val="28"/>
        </w:rPr>
        <w:br/>
        <w:t xml:space="preserve">АО «Янтарьэнерго» за 2018 год </w:t>
      </w:r>
      <w:r w:rsidRPr="008F7199">
        <w:rPr>
          <w:sz w:val="28"/>
          <w:szCs w:val="28"/>
        </w:rPr>
        <w:t>согласно Приложению № 5 к настоящему решению Совета директоров Общества.</w:t>
      </w:r>
    </w:p>
    <w:p w:rsidR="007E41D3" w:rsidRPr="008F7199" w:rsidRDefault="007E41D3" w:rsidP="007E41D3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7199">
        <w:rPr>
          <w:color w:val="000000"/>
          <w:spacing w:val="-2"/>
          <w:sz w:val="28"/>
          <w:szCs w:val="28"/>
        </w:rPr>
        <w:lastRenderedPageBreak/>
        <w:t>Отметить по итогам работы Общества за 2018 год</w:t>
      </w:r>
      <w:r w:rsidRPr="008F7199">
        <w:rPr>
          <w:sz w:val="28"/>
          <w:szCs w:val="28"/>
        </w:rPr>
        <w:t xml:space="preserve"> неисполнение плановых показателей согласно Приложению № 6 к настоящему решению Совета директоров Общества.</w:t>
      </w:r>
    </w:p>
    <w:p w:rsidR="007E41D3" w:rsidRPr="008F7199" w:rsidRDefault="007E41D3" w:rsidP="007E41D3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7199">
        <w:rPr>
          <w:sz w:val="28"/>
          <w:szCs w:val="28"/>
        </w:rPr>
        <w:t>Обратить внимание Генерального директора Общества на неисполнение поручений, выданного</w:t>
      </w:r>
      <w:r w:rsidRPr="008F7199">
        <w:t xml:space="preserve"> </w:t>
      </w:r>
      <w:r w:rsidRPr="008F7199">
        <w:rPr>
          <w:sz w:val="28"/>
          <w:szCs w:val="28"/>
        </w:rPr>
        <w:t>Советом директоров АО</w:t>
      </w:r>
      <w:r>
        <w:rPr>
          <w:sz w:val="28"/>
          <w:szCs w:val="28"/>
        </w:rPr>
        <w:t xml:space="preserve"> «</w:t>
      </w:r>
      <w:r w:rsidRPr="008F7199">
        <w:rPr>
          <w:sz w:val="28"/>
          <w:szCs w:val="28"/>
        </w:rPr>
        <w:t>Янтарьэнерго» согласно Приложению № 7 к настоящему решению Совета директоров Общества.</w:t>
      </w: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572B" w:rsidRPr="0088629E" w:rsidTr="00905AEB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905AEB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905AE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905AE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905AEB">
        <w:tc>
          <w:tcPr>
            <w:tcW w:w="4583" w:type="dxa"/>
            <w:tcBorders>
              <w:right w:val="single" w:sz="4" w:space="0" w:color="auto"/>
            </w:tcBorders>
          </w:tcPr>
          <w:p w:rsidR="000E572B" w:rsidRPr="009E56DE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E56DE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9E56DE" w:rsidRDefault="009E56D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56D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9E56DE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E56D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0E2DAC" w:rsidRDefault="009E56D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9E56DE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C66365" w:rsidTr="00905AEB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905AEB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905AEB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905AEB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E41D3" w:rsidRPr="00BE2C30" w:rsidRDefault="00D16DFE" w:rsidP="007E41D3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6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7E41D3" w:rsidRPr="00BE2C30">
        <w:rPr>
          <w:rFonts w:eastAsia="Calibri"/>
          <w:sz w:val="28"/>
          <w:szCs w:val="28"/>
        </w:rPr>
        <w:t xml:space="preserve">Об определении позиции АО «Янтарьэнерго» </w:t>
      </w:r>
      <w:r w:rsidR="007E41D3" w:rsidRPr="00BE2C30">
        <w:rPr>
          <w:bCs/>
          <w:sz w:val="28"/>
          <w:szCs w:val="28"/>
        </w:rPr>
        <w:t>в Совете директоров ОАО «Янтарьэнергосервис» по вопросу: «О рассмотрении отчета Генерального директора ОАО «Янтарьэнергосервис» об обеспечении страховой защиты в 1 квартале 2019 г.».</w:t>
      </w:r>
    </w:p>
    <w:p w:rsidR="006277C8" w:rsidRDefault="00D16DFE" w:rsidP="006277C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7E41D3" w:rsidRPr="001E3F64" w:rsidRDefault="007E41D3" w:rsidP="007E41D3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1E3F64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1E3F64">
        <w:rPr>
          <w:bCs/>
          <w:sz w:val="28"/>
          <w:szCs w:val="28"/>
        </w:rPr>
        <w:br/>
        <w:t>ОАО «Янтарьэнергосервис» по вопросу: «О рассмотрении отчета Генерального директора ОАО «Янтарьэнергосервис» об обеспечении страховой защиты в 1 квартале 2019 г.» голосовать «ЗА» принятие следующего решения:</w:t>
      </w:r>
    </w:p>
    <w:p w:rsidR="007E41D3" w:rsidRPr="001E3F64" w:rsidRDefault="007E41D3" w:rsidP="007E41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E3F64">
        <w:rPr>
          <w:bCs/>
          <w:sz w:val="28"/>
          <w:szCs w:val="28"/>
        </w:rPr>
        <w:t xml:space="preserve">Принять к сведению отчет Генерального директора ОАО «Янтарьэнергосервис» об обеспечении страховой защиты в 1 квартале 2019 г. </w:t>
      </w:r>
      <w:r w:rsidRPr="001E3F64">
        <w:rPr>
          <w:sz w:val="28"/>
          <w:szCs w:val="28"/>
        </w:rPr>
        <w:t xml:space="preserve">согласно </w:t>
      </w:r>
      <w:proofErr w:type="gramStart"/>
      <w:r w:rsidRPr="001E3F64">
        <w:rPr>
          <w:sz w:val="28"/>
          <w:szCs w:val="28"/>
        </w:rPr>
        <w:t>Приложению</w:t>
      </w:r>
      <w:proofErr w:type="gramEnd"/>
      <w:r w:rsidRPr="001E3F64">
        <w:rPr>
          <w:sz w:val="28"/>
          <w:szCs w:val="28"/>
        </w:rPr>
        <w:t xml:space="preserve"> к настоящему решению Совета директоров Общества.</w:t>
      </w:r>
    </w:p>
    <w:p w:rsidR="00D16DFE" w:rsidRDefault="00D16DFE" w:rsidP="00D16DF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D16DFE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16DFE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D16DFE" w:rsidRPr="00EE5B74" w:rsidRDefault="00D16DFE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D16DFE" w:rsidRPr="0053115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115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53115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115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53115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115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531158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115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C66365" w:rsidTr="006B0834">
        <w:tc>
          <w:tcPr>
            <w:tcW w:w="4583" w:type="dxa"/>
          </w:tcPr>
          <w:p w:rsidR="00D16DFE" w:rsidRPr="00C66365" w:rsidRDefault="00D16DFE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rPr>
          <w:trHeight w:val="310"/>
        </w:trPr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8F8" w:rsidRDefault="00FF18F8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E41D3" w:rsidRPr="00852241" w:rsidRDefault="00D16DFE" w:rsidP="007E41D3">
      <w:pPr>
        <w:widowControl w:val="0"/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7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7E41D3" w:rsidRPr="00852241">
        <w:rPr>
          <w:rFonts w:eastAsia="Calibri"/>
          <w:sz w:val="28"/>
          <w:szCs w:val="28"/>
        </w:rPr>
        <w:t xml:space="preserve">Об определении позиции АО «Янтарьэнерго» </w:t>
      </w:r>
      <w:r w:rsidR="007E41D3" w:rsidRPr="00852241">
        <w:rPr>
          <w:bCs/>
          <w:sz w:val="28"/>
          <w:szCs w:val="28"/>
        </w:rPr>
        <w:t>в Совете директоров ОАО «Янтарьэнергосбыт» по вопросу: «Об утверждении кандидатур страховых организаций для заключения договоров страхования Общества».</w:t>
      </w:r>
    </w:p>
    <w:p w:rsidR="00832BD9" w:rsidRDefault="00D16DFE" w:rsidP="00832BD9">
      <w:pPr>
        <w:pStyle w:val="af5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7E41D3" w:rsidRPr="00C11B84" w:rsidRDefault="007E41D3" w:rsidP="007E41D3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C11B84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C11B84">
        <w:rPr>
          <w:bCs/>
          <w:sz w:val="28"/>
          <w:szCs w:val="28"/>
        </w:rPr>
        <w:br/>
        <w:t>ОАО «Янтарьэнергосбыт» по вопросу: «Об утверждении кандидатур страховых организаций для заключения договоров страхования Общества» голосовать «ЗА» принятие следующего решения:</w:t>
      </w:r>
    </w:p>
    <w:p w:rsidR="007E41D3" w:rsidRPr="00C11B84" w:rsidRDefault="007E41D3" w:rsidP="007E41D3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C11B84">
        <w:rPr>
          <w:bCs/>
          <w:sz w:val="28"/>
          <w:szCs w:val="28"/>
        </w:rPr>
        <w:t xml:space="preserve">Утвердить в качестве страховщика </w:t>
      </w:r>
      <w:r w:rsidRPr="00C11B84">
        <w:rPr>
          <w:sz w:val="28"/>
          <w:szCs w:val="28"/>
        </w:rPr>
        <w:t>Общества</w:t>
      </w:r>
      <w:r w:rsidRPr="00C11B84">
        <w:rPr>
          <w:bCs/>
          <w:sz w:val="28"/>
          <w:szCs w:val="28"/>
        </w:rPr>
        <w:t xml:space="preserve"> следующую кандидатуру: </w:t>
      </w:r>
    </w:p>
    <w:tbl>
      <w:tblPr>
        <w:tblW w:w="1006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3593"/>
        <w:gridCol w:w="3969"/>
      </w:tblGrid>
      <w:tr w:rsidR="007E41D3" w:rsidRPr="00C11B84" w:rsidTr="00B07BE2">
        <w:trPr>
          <w:cantSplit/>
          <w:trHeight w:val="726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1D3" w:rsidRPr="00C11B84" w:rsidRDefault="007E41D3" w:rsidP="00B07BE2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C11B84">
              <w:rPr>
                <w:bCs/>
                <w:sz w:val="28"/>
                <w:szCs w:val="28"/>
                <w:lang w:val="en-US"/>
              </w:rPr>
              <w:t>Вид</w:t>
            </w:r>
            <w:proofErr w:type="spellEnd"/>
            <w:r w:rsidRPr="00C11B8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1B84">
              <w:rPr>
                <w:bCs/>
                <w:sz w:val="28"/>
                <w:szCs w:val="28"/>
                <w:lang w:val="en-US"/>
              </w:rPr>
              <w:t>страхования</w:t>
            </w:r>
            <w:proofErr w:type="spellEnd"/>
          </w:p>
        </w:tc>
        <w:tc>
          <w:tcPr>
            <w:tcW w:w="3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1D3" w:rsidRPr="00C11B84" w:rsidRDefault="007E41D3" w:rsidP="00B07BE2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C11B84">
              <w:rPr>
                <w:bCs/>
                <w:sz w:val="28"/>
                <w:szCs w:val="28"/>
                <w:lang w:val="en-US"/>
              </w:rPr>
              <w:t>Страховая</w:t>
            </w:r>
            <w:proofErr w:type="spellEnd"/>
            <w:r w:rsidRPr="00C11B8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1B84">
              <w:rPr>
                <w:bCs/>
                <w:sz w:val="28"/>
                <w:szCs w:val="28"/>
                <w:lang w:val="en-US"/>
              </w:rPr>
              <w:t>компания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1D3" w:rsidRPr="00C11B84" w:rsidRDefault="007E41D3" w:rsidP="00B07BE2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11B84">
              <w:rPr>
                <w:bCs/>
                <w:sz w:val="28"/>
                <w:szCs w:val="28"/>
              </w:rPr>
              <w:t xml:space="preserve">Период страхования </w:t>
            </w:r>
          </w:p>
          <w:p w:rsidR="007E41D3" w:rsidRPr="00C11B84" w:rsidRDefault="007E41D3" w:rsidP="00B07BE2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11B84">
              <w:rPr>
                <w:bCs/>
                <w:sz w:val="28"/>
                <w:szCs w:val="28"/>
              </w:rPr>
              <w:t>(период выдачи полисов)</w:t>
            </w:r>
          </w:p>
        </w:tc>
      </w:tr>
      <w:tr w:rsidR="007E41D3" w:rsidRPr="00C11B84" w:rsidTr="00B07BE2">
        <w:trPr>
          <w:cantSplit/>
          <w:trHeight w:val="659"/>
        </w:trPr>
        <w:tc>
          <w:tcPr>
            <w:tcW w:w="2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1D3" w:rsidRPr="00C11B84" w:rsidRDefault="007E41D3" w:rsidP="00B07BE2">
            <w:pPr>
              <w:jc w:val="center"/>
              <w:rPr>
                <w:iCs/>
                <w:sz w:val="28"/>
                <w:szCs w:val="28"/>
              </w:rPr>
            </w:pPr>
            <w:r w:rsidRPr="00C11B84">
              <w:rPr>
                <w:bCs/>
                <w:sz w:val="28"/>
                <w:szCs w:val="28"/>
              </w:rPr>
              <w:t>Добровольное страхование от несчастных случаев и болезней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1D3" w:rsidRPr="00C11B84" w:rsidRDefault="007E41D3" w:rsidP="00B07BE2">
            <w:pPr>
              <w:jc w:val="center"/>
              <w:rPr>
                <w:color w:val="000000"/>
                <w:sz w:val="28"/>
                <w:szCs w:val="28"/>
              </w:rPr>
            </w:pPr>
            <w:r w:rsidRPr="00C11B84">
              <w:rPr>
                <w:color w:val="000000"/>
                <w:sz w:val="28"/>
                <w:szCs w:val="28"/>
              </w:rPr>
              <w:t>АО «СОГАЗ»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1D3" w:rsidRPr="00C11B84" w:rsidRDefault="007E41D3" w:rsidP="00B07BE2">
            <w:pPr>
              <w:jc w:val="center"/>
              <w:rPr>
                <w:sz w:val="28"/>
                <w:szCs w:val="28"/>
              </w:rPr>
            </w:pPr>
            <w:r w:rsidRPr="00C11B84">
              <w:rPr>
                <w:sz w:val="28"/>
                <w:szCs w:val="28"/>
              </w:rPr>
              <w:t>С 22.06.2019 по 21.06.2020</w:t>
            </w:r>
          </w:p>
        </w:tc>
      </w:tr>
    </w:tbl>
    <w:p w:rsidR="007E41D3" w:rsidRDefault="007E41D3" w:rsidP="00832BD9">
      <w:pPr>
        <w:pStyle w:val="af5"/>
        <w:jc w:val="both"/>
        <w:rPr>
          <w:bCs/>
          <w:sz w:val="28"/>
          <w:szCs w:val="28"/>
        </w:rPr>
      </w:pP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572B" w:rsidRPr="0088629E" w:rsidTr="005B2397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5B2397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5B2397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5B2397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B2397">
        <w:tc>
          <w:tcPr>
            <w:tcW w:w="4583" w:type="dxa"/>
            <w:tcBorders>
              <w:right w:val="single" w:sz="4" w:space="0" w:color="auto"/>
            </w:tcBorders>
          </w:tcPr>
          <w:p w:rsidR="000E572B" w:rsidRPr="0053115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3115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531158" w:rsidRDefault="00C77474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531158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31158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531158" w:rsidRDefault="00C77474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5B2397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B2397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B2397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B2397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7E41D3" w:rsidRPr="009C2824" w:rsidRDefault="00D16DFE" w:rsidP="007E41D3">
      <w:pPr>
        <w:jc w:val="both"/>
        <w:rPr>
          <w:rFonts w:eastAsia="Calibri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8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7E41D3" w:rsidRPr="007E41D3">
        <w:rPr>
          <w:rFonts w:eastAsia="Calibri"/>
          <w:sz w:val="28"/>
          <w:szCs w:val="28"/>
        </w:rPr>
        <w:t xml:space="preserve"> </w:t>
      </w:r>
      <w:r w:rsidR="007E41D3" w:rsidRPr="009C2824">
        <w:rPr>
          <w:rFonts w:eastAsia="Calibri"/>
          <w:sz w:val="28"/>
          <w:szCs w:val="28"/>
        </w:rPr>
        <w:t>Об определении позиции АО «Янтарьэнерго» по вопросам повесток дня заседаний Советов директоров и Общих собраний акционеров ДЗО АО «Янтарьэнерго».</w:t>
      </w:r>
    </w:p>
    <w:p w:rsidR="00832BD9" w:rsidRDefault="00D16DFE" w:rsidP="00832BD9">
      <w:pPr>
        <w:pStyle w:val="af5"/>
        <w:jc w:val="both"/>
        <w:rPr>
          <w:rFonts w:eastAsia="Calibri"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832BD9" w:rsidRPr="00832BD9">
        <w:rPr>
          <w:rFonts w:eastAsia="Calibri"/>
          <w:sz w:val="28"/>
          <w:szCs w:val="28"/>
        </w:rPr>
        <w:t xml:space="preserve"> </w:t>
      </w:r>
    </w:p>
    <w:p w:rsidR="007E41D3" w:rsidRPr="006B0474" w:rsidRDefault="007E41D3" w:rsidP="007E41D3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 xml:space="preserve">1. Поручить представителям АО «Янтарьэнерго» в Совете директоров </w:t>
      </w:r>
      <w:r w:rsidRPr="006B0474">
        <w:rPr>
          <w:bCs/>
          <w:sz w:val="28"/>
          <w:szCs w:val="28"/>
        </w:rPr>
        <w:br/>
        <w:t>ОАО «Калининградская генерирующая компания»:</w:t>
      </w:r>
    </w:p>
    <w:p w:rsidR="007E41D3" w:rsidRPr="006B0474" w:rsidRDefault="007E41D3" w:rsidP="007E41D3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1.1. По вопросу: «О рекомендациях по распределению прибыли и убытков ОАО «Калининградская генерирующая компания» по результатам 2018 года» голосовать «ЗА» принятие следующего решения:</w:t>
      </w:r>
    </w:p>
    <w:p w:rsidR="007E41D3" w:rsidRDefault="007E41D3" w:rsidP="007E41D3">
      <w:pPr>
        <w:ind w:firstLine="708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Рекомендовать годовому Общему собранию акционеров Общества утвердить следующее распределение прибыли Общества за 2018 отчетный   год:</w:t>
      </w:r>
    </w:p>
    <w:p w:rsidR="007E41D3" w:rsidRPr="006B0474" w:rsidRDefault="007E41D3" w:rsidP="007E41D3">
      <w:pPr>
        <w:ind w:firstLine="708"/>
        <w:contextualSpacing/>
        <w:jc w:val="both"/>
        <w:rPr>
          <w:bCs/>
          <w:sz w:val="28"/>
          <w:szCs w:val="28"/>
        </w:rPr>
      </w:pPr>
    </w:p>
    <w:tbl>
      <w:tblPr>
        <w:tblW w:w="10017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9"/>
        <w:gridCol w:w="2318"/>
      </w:tblGrid>
      <w:tr w:rsidR="007E41D3" w:rsidRPr="006B0474" w:rsidTr="00B07BE2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lastRenderedPageBreak/>
              <w:t xml:space="preserve">Наименование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(тыс. руб.)</w:t>
            </w:r>
          </w:p>
        </w:tc>
      </w:tr>
      <w:tr w:rsidR="007E41D3" w:rsidRPr="006B0474" w:rsidTr="00B07BE2">
        <w:trPr>
          <w:trHeight w:val="616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6B0474">
              <w:rPr>
                <w:sz w:val="28"/>
                <w:szCs w:val="28"/>
              </w:rPr>
              <w:t xml:space="preserve">на:  </w:t>
            </w:r>
            <w:proofErr w:type="gram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123 297</w:t>
            </w:r>
          </w:p>
        </w:tc>
      </w:tr>
      <w:tr w:rsidR="007E41D3" w:rsidRPr="006B0474" w:rsidTr="00B07BE2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Резервный фонд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6 165</w:t>
            </w:r>
          </w:p>
        </w:tc>
      </w:tr>
      <w:tr w:rsidR="007E41D3" w:rsidRPr="006B0474" w:rsidTr="00B07BE2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6B0474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rPr>
          <w:trHeight w:val="28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6B0474">
              <w:rPr>
                <w:sz w:val="28"/>
                <w:szCs w:val="28"/>
              </w:rPr>
              <w:t xml:space="preserve">  Погашение убытков прошлых лет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6B0474">
              <w:rPr>
                <w:sz w:val="28"/>
                <w:szCs w:val="28"/>
                <w:lang w:val="en-US"/>
              </w:rPr>
              <w:t>1</w:t>
            </w:r>
            <w:r w:rsidRPr="006B0474">
              <w:rPr>
                <w:sz w:val="28"/>
                <w:szCs w:val="28"/>
              </w:rPr>
              <w:t>17 132</w:t>
            </w:r>
          </w:p>
        </w:tc>
      </w:tr>
    </w:tbl>
    <w:p w:rsidR="007E41D3" w:rsidRPr="006B0474" w:rsidRDefault="007E41D3" w:rsidP="007E41D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1.2. По вопросу: «О рекомендациях по размеру дивидендов по акциям ОАО «Калининградская генерирующая компания» за 2018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 голосовать «ЗА» принятие следующего решения:</w:t>
      </w:r>
    </w:p>
    <w:p w:rsidR="007E41D3" w:rsidRPr="006B0474" w:rsidRDefault="007E41D3" w:rsidP="007E41D3">
      <w:pPr>
        <w:ind w:firstLine="709"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Рекомендовать годовому Общему собранию акционеров принять следующее решение:</w:t>
      </w:r>
    </w:p>
    <w:p w:rsidR="007E41D3" w:rsidRPr="006B0474" w:rsidRDefault="007E41D3" w:rsidP="007E41D3">
      <w:pPr>
        <w:ind w:firstLine="709"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 xml:space="preserve">Не выплачивать дивиденды по обыкновенным акциям Общества по итогам 2018 года.  </w:t>
      </w:r>
    </w:p>
    <w:p w:rsidR="007E41D3" w:rsidRPr="006B0474" w:rsidRDefault="007E41D3" w:rsidP="007E41D3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6B0474">
        <w:rPr>
          <w:sz w:val="28"/>
          <w:szCs w:val="28"/>
        </w:rPr>
        <w:t xml:space="preserve">2. </w:t>
      </w:r>
      <w:r w:rsidRPr="006B0474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6B0474">
        <w:rPr>
          <w:bCs/>
          <w:sz w:val="28"/>
          <w:szCs w:val="28"/>
        </w:rPr>
        <w:br/>
        <w:t>ОАО «Янтарьэнергосбыт»:</w:t>
      </w:r>
    </w:p>
    <w:p w:rsidR="007E41D3" w:rsidRPr="006B0474" w:rsidRDefault="007E41D3" w:rsidP="007E41D3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6B0474">
        <w:rPr>
          <w:bCs/>
          <w:sz w:val="28"/>
          <w:szCs w:val="28"/>
        </w:rPr>
        <w:t>2.1. П</w:t>
      </w:r>
      <w:r w:rsidRPr="006B0474">
        <w:rPr>
          <w:bCs/>
          <w:iCs/>
          <w:sz w:val="28"/>
          <w:szCs w:val="28"/>
        </w:rPr>
        <w:t xml:space="preserve">о вопросу: «О рекомендациях по распределению прибыли и убытков ОАО «Янтарьэнергосбыт» по результатам 2018 года» </w:t>
      </w:r>
      <w:r w:rsidRPr="006B0474">
        <w:rPr>
          <w:sz w:val="28"/>
          <w:szCs w:val="28"/>
        </w:rPr>
        <w:t>голосовать «ЗА» принятие следующего решения:</w:t>
      </w:r>
    </w:p>
    <w:p w:rsidR="007E41D3" w:rsidRPr="006B0474" w:rsidRDefault="007E41D3" w:rsidP="007E41D3">
      <w:pPr>
        <w:ind w:firstLine="708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>Рекомендовать годовому Общему собранию акционеров Общества утвердить следующее распределение прибыли (убытков) Общества за 2018 отчетный год: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4"/>
        <w:gridCol w:w="2268"/>
      </w:tblGrid>
      <w:tr w:rsidR="007E41D3" w:rsidRPr="006B0474" w:rsidTr="00B07BE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(тыс. руб.)</w:t>
            </w:r>
          </w:p>
        </w:tc>
      </w:tr>
      <w:tr w:rsidR="007E41D3" w:rsidRPr="006B0474" w:rsidTr="00B07BE2">
        <w:trPr>
          <w:trHeight w:val="608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41D3" w:rsidRPr="006B0474" w:rsidRDefault="007E41D3" w:rsidP="00B07BE2">
            <w:pPr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  <w:p w:rsidR="007E41D3" w:rsidRPr="006B0474" w:rsidRDefault="007E41D3" w:rsidP="00B07BE2">
            <w:pPr>
              <w:tabs>
                <w:tab w:val="left" w:pos="2247"/>
              </w:tabs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6B0474">
              <w:rPr>
                <w:sz w:val="28"/>
                <w:szCs w:val="28"/>
              </w:rPr>
              <w:t xml:space="preserve">на: 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19 078</w:t>
            </w:r>
          </w:p>
        </w:tc>
      </w:tr>
      <w:tr w:rsidR="007E41D3" w:rsidRPr="006B0474" w:rsidTr="00B07BE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tabs>
                <w:tab w:val="left" w:pos="224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 Резервный фонд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1D3" w:rsidRPr="006B0474" w:rsidRDefault="007E41D3" w:rsidP="00B07BE2">
            <w:pPr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 Прибыль на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1D3" w:rsidRPr="006B0474" w:rsidRDefault="007E41D3" w:rsidP="00B07BE2">
            <w:pPr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 Дивиденды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9 539</w:t>
            </w:r>
          </w:p>
        </w:tc>
      </w:tr>
      <w:tr w:rsidR="007E41D3" w:rsidRPr="006B0474" w:rsidTr="00B07BE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1D3" w:rsidRPr="006B0474" w:rsidRDefault="007E41D3" w:rsidP="00B07BE2">
            <w:pPr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 Погашение убытков прошлых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9 539</w:t>
            </w:r>
          </w:p>
        </w:tc>
      </w:tr>
    </w:tbl>
    <w:p w:rsidR="007E41D3" w:rsidRDefault="007E41D3" w:rsidP="007E41D3">
      <w:pPr>
        <w:ind w:firstLine="709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>2.2. По вопросу: «</w:t>
      </w:r>
      <w:r w:rsidRPr="006B0474">
        <w:rPr>
          <w:color w:val="000000"/>
          <w:spacing w:val="-3"/>
          <w:w w:val="102"/>
          <w:sz w:val="28"/>
          <w:szCs w:val="28"/>
        </w:rPr>
        <w:t>О рекомендациях по размеру дивидендов по акциям ОАО «Янтарьэнергосбыт» за 2018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</w:t>
      </w:r>
      <w:r w:rsidRPr="006B0474">
        <w:rPr>
          <w:bCs/>
          <w:iCs/>
          <w:sz w:val="28"/>
          <w:szCs w:val="28"/>
        </w:rPr>
        <w:t xml:space="preserve"> </w:t>
      </w:r>
      <w:r w:rsidRPr="006B0474">
        <w:rPr>
          <w:sz w:val="28"/>
          <w:szCs w:val="28"/>
        </w:rPr>
        <w:t>голосовать «ЗА» принятие следующего решения:</w:t>
      </w:r>
    </w:p>
    <w:p w:rsidR="007E41D3" w:rsidRPr="006B0474" w:rsidRDefault="007E41D3" w:rsidP="007E41D3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>Рекомендовать годовому Общему собранию акционеров Общества принять следующее решение:</w:t>
      </w:r>
    </w:p>
    <w:p w:rsidR="007E41D3" w:rsidRPr="006B0474" w:rsidRDefault="007E41D3" w:rsidP="007E41D3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6B0474">
        <w:rPr>
          <w:rFonts w:eastAsia="Arial Unicode MS"/>
          <w:sz w:val="28"/>
          <w:szCs w:val="28"/>
        </w:rPr>
        <w:t xml:space="preserve">Выплатить дивиденды по обыкновенным акциям Общества по итогам 2018 года в размере </w:t>
      </w:r>
      <w:r w:rsidRPr="006B0474">
        <w:rPr>
          <w:sz w:val="28"/>
          <w:szCs w:val="28"/>
        </w:rPr>
        <w:t>22,1837 рублей</w:t>
      </w:r>
      <w:r w:rsidRPr="006B0474">
        <w:rPr>
          <w:rFonts w:eastAsia="Arial Unicode MS"/>
          <w:sz w:val="28"/>
          <w:szCs w:val="28"/>
        </w:rPr>
        <w:t xml:space="preserve"> на одну обыкновенную акцию в денежной форме.  </w:t>
      </w:r>
    </w:p>
    <w:p w:rsidR="007E41D3" w:rsidRPr="006B0474" w:rsidRDefault="007E41D3" w:rsidP="007E41D3">
      <w:pPr>
        <w:keepNext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6B0474">
        <w:rPr>
          <w:rFonts w:eastAsia="Arial Unicode MS"/>
          <w:sz w:val="28"/>
          <w:szCs w:val="28"/>
        </w:rPr>
        <w:t xml:space="preserve"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</w:t>
      </w:r>
      <w:r w:rsidRPr="006B0474">
        <w:rPr>
          <w:rFonts w:eastAsia="Arial Unicode MS"/>
          <w:sz w:val="28"/>
          <w:szCs w:val="28"/>
        </w:rPr>
        <w:lastRenderedPageBreak/>
        <w:t>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7E41D3" w:rsidRPr="006B0474" w:rsidRDefault="007E41D3" w:rsidP="007E41D3">
      <w:pPr>
        <w:keepNext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6B0474">
        <w:rPr>
          <w:rFonts w:eastAsia="Arial Unicode MS"/>
          <w:sz w:val="28"/>
          <w:szCs w:val="28"/>
        </w:rPr>
        <w:t>Определить дату составления списка лиц, имеющих право на получение дивидендов – 16 июля 2019 года.</w:t>
      </w:r>
    </w:p>
    <w:p w:rsidR="007E41D3" w:rsidRPr="006B0474" w:rsidRDefault="007E41D3" w:rsidP="007E41D3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6B0474">
        <w:rPr>
          <w:sz w:val="28"/>
          <w:szCs w:val="28"/>
        </w:rPr>
        <w:t xml:space="preserve">3. </w:t>
      </w:r>
      <w:r w:rsidRPr="006B0474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6B0474">
        <w:rPr>
          <w:bCs/>
          <w:sz w:val="28"/>
          <w:szCs w:val="28"/>
        </w:rPr>
        <w:br/>
        <w:t>ОАО «Янтарьэнергосервис»:</w:t>
      </w:r>
    </w:p>
    <w:p w:rsidR="007E41D3" w:rsidRPr="006B0474" w:rsidRDefault="007E41D3" w:rsidP="007E41D3">
      <w:pPr>
        <w:ind w:firstLine="709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 xml:space="preserve">3.1. </w:t>
      </w:r>
      <w:r w:rsidRPr="006B0474">
        <w:rPr>
          <w:bCs/>
          <w:iCs/>
          <w:sz w:val="28"/>
          <w:szCs w:val="28"/>
        </w:rPr>
        <w:t xml:space="preserve">По вопросу: «О рекомендациях по распределению прибыли и убытков ОАО «Янтарьэнергосервис» по результатам 2018 года» </w:t>
      </w:r>
      <w:r w:rsidRPr="006B0474">
        <w:rPr>
          <w:sz w:val="28"/>
          <w:szCs w:val="28"/>
        </w:rPr>
        <w:t>голосовать «ЗА» принятие следующего решения:</w:t>
      </w:r>
    </w:p>
    <w:p w:rsidR="007E41D3" w:rsidRPr="006B0474" w:rsidRDefault="007E41D3" w:rsidP="007E41D3">
      <w:pPr>
        <w:ind w:firstLine="567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>Рекомендовать годовому Общему собранию акционеров Общества утвердить следующее распределение прибыли (убытков) Общества за 2018 отчетный год: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4"/>
        <w:gridCol w:w="2268"/>
      </w:tblGrid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ind w:firstLine="491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Наименование </w:t>
            </w:r>
          </w:p>
        </w:tc>
        <w:tc>
          <w:tcPr>
            <w:tcW w:w="2268" w:type="dxa"/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(тыс. руб.)</w:t>
            </w:r>
          </w:p>
        </w:tc>
      </w:tr>
      <w:tr w:rsidR="007E41D3" w:rsidRPr="006B0474" w:rsidTr="00B07BE2">
        <w:trPr>
          <w:trHeight w:val="632"/>
        </w:trPr>
        <w:tc>
          <w:tcPr>
            <w:tcW w:w="7684" w:type="dxa"/>
          </w:tcPr>
          <w:p w:rsidR="007E41D3" w:rsidRPr="006B0474" w:rsidRDefault="007E41D3" w:rsidP="00B07BE2">
            <w:pPr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  <w:p w:rsidR="007E41D3" w:rsidRPr="006B0474" w:rsidRDefault="007E41D3" w:rsidP="00B07BE2">
            <w:pPr>
              <w:tabs>
                <w:tab w:val="left" w:pos="3837"/>
              </w:tabs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6B0474">
              <w:rPr>
                <w:sz w:val="28"/>
                <w:szCs w:val="28"/>
              </w:rPr>
              <w:t xml:space="preserve">на:  </w:t>
            </w:r>
            <w:proofErr w:type="gramEnd"/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(18 102)</w:t>
            </w:r>
          </w:p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Резервный фонд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2247"/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Дивиденды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7E41D3" w:rsidRPr="006B0474" w:rsidRDefault="007E41D3" w:rsidP="007E41D3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>3.2. По вопросу: «</w:t>
      </w:r>
      <w:r w:rsidRPr="006B0474">
        <w:rPr>
          <w:color w:val="000000"/>
          <w:spacing w:val="-3"/>
          <w:w w:val="102"/>
          <w:sz w:val="28"/>
          <w:szCs w:val="28"/>
        </w:rPr>
        <w:t>О рекомендациях по размеру дивидендов по акциям ОАО «Янтарьэнергосервис» за 2018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</w:t>
      </w:r>
      <w:r w:rsidRPr="006B0474">
        <w:rPr>
          <w:sz w:val="28"/>
          <w:szCs w:val="28"/>
        </w:rPr>
        <w:t xml:space="preserve"> голосовать «ЗА» принятие следующего решения:</w:t>
      </w:r>
    </w:p>
    <w:p w:rsidR="007E41D3" w:rsidRPr="006B0474" w:rsidRDefault="007E41D3" w:rsidP="007E41D3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>Рекомендовать годовому Общему собранию акционеров Общества принять следующее решение:</w:t>
      </w:r>
    </w:p>
    <w:p w:rsidR="007E41D3" w:rsidRPr="006B0474" w:rsidRDefault="007E41D3" w:rsidP="007E41D3">
      <w:pPr>
        <w:ind w:firstLine="709"/>
        <w:jc w:val="both"/>
        <w:rPr>
          <w:sz w:val="28"/>
          <w:szCs w:val="28"/>
        </w:rPr>
      </w:pPr>
      <w:r w:rsidRPr="006B0474">
        <w:rPr>
          <w:sz w:val="28"/>
          <w:szCs w:val="28"/>
        </w:rPr>
        <w:t xml:space="preserve">Не выплачивать дивиденды по обыкновенным акциям Общества по итогам 2018 года.  </w:t>
      </w:r>
    </w:p>
    <w:p w:rsidR="007E41D3" w:rsidRPr="006B0474" w:rsidRDefault="007E41D3" w:rsidP="007E41D3">
      <w:pPr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4. Поручить представителям АО «Янтарьэнерго» на Общем собрании акционеров ОАО «Калининградская генерирующая компания»:</w:t>
      </w:r>
    </w:p>
    <w:p w:rsidR="007E41D3" w:rsidRPr="006B0474" w:rsidRDefault="007E41D3" w:rsidP="007E41D3">
      <w:pPr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4.1.</w:t>
      </w:r>
      <w:r w:rsidRPr="006B0474">
        <w:rPr>
          <w:sz w:val="28"/>
          <w:szCs w:val="28"/>
        </w:rPr>
        <w:t xml:space="preserve"> По вопросу: «Об утверждении распределения прибыли ОАО «Калининградская генерирующая компания» голосовать «ЗА» принятие следующего решения:</w:t>
      </w:r>
    </w:p>
    <w:p w:rsidR="007E41D3" w:rsidRPr="006B0474" w:rsidRDefault="007E41D3" w:rsidP="007E41D3">
      <w:pPr>
        <w:ind w:firstLine="709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>Утвердить следующее распределение прибыли (убытков) Общества за 2018 отчетный год:</w:t>
      </w:r>
    </w:p>
    <w:tbl>
      <w:tblPr>
        <w:tblW w:w="10017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9"/>
        <w:gridCol w:w="2318"/>
      </w:tblGrid>
      <w:tr w:rsidR="007E41D3" w:rsidRPr="006B0474" w:rsidTr="00B07BE2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(тыс. руб.)</w:t>
            </w:r>
          </w:p>
        </w:tc>
      </w:tr>
      <w:tr w:rsidR="007E41D3" w:rsidRPr="006B0474" w:rsidTr="00B07BE2">
        <w:trPr>
          <w:trHeight w:val="616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6B0474">
              <w:rPr>
                <w:sz w:val="28"/>
                <w:szCs w:val="28"/>
              </w:rPr>
              <w:t xml:space="preserve">на:  </w:t>
            </w:r>
            <w:proofErr w:type="gram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123 297</w:t>
            </w:r>
          </w:p>
        </w:tc>
      </w:tr>
      <w:tr w:rsidR="007E41D3" w:rsidRPr="006B0474" w:rsidTr="00B07BE2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Резервный фонд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6 165</w:t>
            </w:r>
          </w:p>
        </w:tc>
      </w:tr>
      <w:tr w:rsidR="007E41D3" w:rsidRPr="006B0474" w:rsidTr="00B07BE2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6B0474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rPr>
          <w:trHeight w:val="28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6B0474">
              <w:rPr>
                <w:sz w:val="28"/>
                <w:szCs w:val="28"/>
              </w:rPr>
              <w:t xml:space="preserve">  Погашение убытков прошлых лет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6B0474">
              <w:rPr>
                <w:sz w:val="28"/>
                <w:szCs w:val="28"/>
                <w:lang w:val="en-US"/>
              </w:rPr>
              <w:t>1</w:t>
            </w:r>
            <w:r w:rsidRPr="006B0474">
              <w:rPr>
                <w:sz w:val="28"/>
                <w:szCs w:val="28"/>
              </w:rPr>
              <w:t>17 132</w:t>
            </w:r>
          </w:p>
        </w:tc>
      </w:tr>
    </w:tbl>
    <w:p w:rsidR="007E41D3" w:rsidRPr="006B0474" w:rsidRDefault="007E41D3" w:rsidP="007E41D3">
      <w:pPr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 xml:space="preserve">4.2. По вопросу: «О </w:t>
      </w:r>
      <w:r w:rsidRPr="006B0474">
        <w:rPr>
          <w:sz w:val="28"/>
          <w:szCs w:val="28"/>
        </w:rPr>
        <w:t>выплате (объявлении) дивидендов</w:t>
      </w:r>
      <w:r w:rsidRPr="006B0474">
        <w:rPr>
          <w:bCs/>
          <w:sz w:val="28"/>
          <w:szCs w:val="28"/>
        </w:rPr>
        <w:t xml:space="preserve"> </w:t>
      </w:r>
      <w:r w:rsidRPr="006B0474">
        <w:rPr>
          <w:snapToGrid w:val="0"/>
          <w:sz w:val="28"/>
          <w:szCs w:val="28"/>
        </w:rPr>
        <w:t>по результатам 2018 года</w:t>
      </w:r>
      <w:r w:rsidRPr="006B0474">
        <w:rPr>
          <w:sz w:val="28"/>
          <w:szCs w:val="28"/>
        </w:rPr>
        <w:t>» голосовать «ЗА» принятие следующего решения:</w:t>
      </w:r>
    </w:p>
    <w:p w:rsidR="007E41D3" w:rsidRPr="006B0474" w:rsidRDefault="007E41D3" w:rsidP="007E41D3">
      <w:pPr>
        <w:ind w:firstLine="709"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lastRenderedPageBreak/>
        <w:t xml:space="preserve">Не выплачивать дивиденды по обыкновенным акциям Общества по итогам 2018 года.  </w:t>
      </w:r>
    </w:p>
    <w:p w:rsidR="007E41D3" w:rsidRPr="006B0474" w:rsidRDefault="007E41D3" w:rsidP="007E41D3">
      <w:pPr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sz w:val="28"/>
          <w:szCs w:val="28"/>
        </w:rPr>
        <w:t xml:space="preserve">5. </w:t>
      </w:r>
      <w:r w:rsidRPr="006B0474">
        <w:rPr>
          <w:bCs/>
          <w:sz w:val="28"/>
          <w:szCs w:val="28"/>
        </w:rPr>
        <w:t>Поручить представителям АО «Янтарьэнерго» на Общем собрании акционеров ОАО «Янтарьэнергосбыт»</w:t>
      </w:r>
      <w:r>
        <w:rPr>
          <w:bCs/>
          <w:sz w:val="28"/>
          <w:szCs w:val="28"/>
        </w:rPr>
        <w:t>:</w:t>
      </w:r>
      <w:r w:rsidRPr="006B0474">
        <w:rPr>
          <w:bCs/>
          <w:sz w:val="28"/>
          <w:szCs w:val="28"/>
        </w:rPr>
        <w:t xml:space="preserve">    </w:t>
      </w:r>
    </w:p>
    <w:p w:rsidR="007E41D3" w:rsidRPr="006B0474" w:rsidRDefault="007E41D3" w:rsidP="007E41D3">
      <w:pPr>
        <w:widowControl w:val="0"/>
        <w:tabs>
          <w:tab w:val="left" w:pos="900"/>
        </w:tabs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5.1. По вопросу</w:t>
      </w:r>
      <w:r w:rsidRPr="006B0474">
        <w:rPr>
          <w:sz w:val="28"/>
          <w:szCs w:val="28"/>
        </w:rPr>
        <w:t>: «Об утверждении распределения прибыли ОАО «Янтарьэнергосбыт»</w:t>
      </w:r>
      <w:r w:rsidRPr="006B0474">
        <w:rPr>
          <w:bCs/>
          <w:sz w:val="28"/>
          <w:szCs w:val="28"/>
        </w:rPr>
        <w:t xml:space="preserve"> </w:t>
      </w:r>
      <w:r w:rsidRPr="006B0474">
        <w:rPr>
          <w:sz w:val="28"/>
          <w:szCs w:val="28"/>
        </w:rPr>
        <w:t>голосовать «ЗА» принятие следующего решения:</w:t>
      </w:r>
    </w:p>
    <w:p w:rsidR="007E41D3" w:rsidRPr="006B0474" w:rsidRDefault="007E41D3" w:rsidP="007E41D3">
      <w:pPr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 xml:space="preserve">Утвердить следующее распределение прибыли (убытков) Общества за 2018 отчетный год: 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7E41D3" w:rsidRPr="006B0474" w:rsidTr="00B07BE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ind w:firstLine="600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(тыс. руб.)</w:t>
            </w:r>
          </w:p>
        </w:tc>
      </w:tr>
      <w:tr w:rsidR="007E41D3" w:rsidRPr="006B0474" w:rsidTr="00B07BE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ind w:firstLine="600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  <w:p w:rsidR="007E41D3" w:rsidRPr="006B0474" w:rsidRDefault="007E41D3" w:rsidP="00B07BE2">
            <w:pPr>
              <w:ind w:firstLine="600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6B0474">
              <w:rPr>
                <w:sz w:val="28"/>
                <w:szCs w:val="28"/>
              </w:rPr>
              <w:t xml:space="preserve">на: 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19 078</w:t>
            </w:r>
          </w:p>
        </w:tc>
      </w:tr>
      <w:tr w:rsidR="007E41D3" w:rsidRPr="006B0474" w:rsidTr="00B07BE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 Резервный фонд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 Прибыль на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 Дивиденды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9 539</w:t>
            </w:r>
          </w:p>
        </w:tc>
      </w:tr>
      <w:tr w:rsidR="007E41D3" w:rsidRPr="006B0474" w:rsidTr="00B07BE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 Погашение убытков прошлых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9 539</w:t>
            </w:r>
          </w:p>
        </w:tc>
      </w:tr>
    </w:tbl>
    <w:p w:rsidR="007E41D3" w:rsidRPr="006B0474" w:rsidRDefault="007E41D3" w:rsidP="007E41D3">
      <w:pPr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5.2. По вопросу</w:t>
      </w:r>
      <w:r>
        <w:rPr>
          <w:bCs/>
          <w:sz w:val="28"/>
          <w:szCs w:val="28"/>
        </w:rPr>
        <w:t>:</w:t>
      </w:r>
      <w:r w:rsidRPr="006B0474">
        <w:rPr>
          <w:bCs/>
          <w:sz w:val="28"/>
          <w:szCs w:val="28"/>
        </w:rPr>
        <w:t xml:space="preserve"> «О   </w:t>
      </w:r>
      <w:r w:rsidRPr="006B0474">
        <w:rPr>
          <w:sz w:val="28"/>
          <w:szCs w:val="28"/>
        </w:rPr>
        <w:t xml:space="preserve"> выплате (объявлении) дивидендов</w:t>
      </w:r>
      <w:r w:rsidRPr="006B0474">
        <w:rPr>
          <w:bCs/>
          <w:sz w:val="28"/>
          <w:szCs w:val="28"/>
        </w:rPr>
        <w:t xml:space="preserve"> </w:t>
      </w:r>
      <w:r w:rsidRPr="006B0474">
        <w:rPr>
          <w:snapToGrid w:val="0"/>
          <w:sz w:val="28"/>
          <w:szCs w:val="28"/>
        </w:rPr>
        <w:t>по результатам 2018 года</w:t>
      </w:r>
      <w:r w:rsidRPr="006B0474">
        <w:rPr>
          <w:sz w:val="28"/>
          <w:szCs w:val="28"/>
        </w:rPr>
        <w:t>» голосовать «ЗА» принятие следующего решения:</w:t>
      </w:r>
      <w:r w:rsidRPr="006B0474">
        <w:rPr>
          <w:bCs/>
          <w:sz w:val="28"/>
          <w:szCs w:val="28"/>
        </w:rPr>
        <w:t xml:space="preserve"> </w:t>
      </w:r>
    </w:p>
    <w:p w:rsidR="007E41D3" w:rsidRPr="006B0474" w:rsidRDefault="007E41D3" w:rsidP="007E41D3">
      <w:pPr>
        <w:keepNext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6B0474">
        <w:rPr>
          <w:rFonts w:eastAsia="Arial Unicode MS"/>
          <w:sz w:val="28"/>
          <w:szCs w:val="28"/>
        </w:rPr>
        <w:t xml:space="preserve">Выплатить дивиденды по обыкновенным акциям Общества по итогам 2018 года в размере </w:t>
      </w:r>
      <w:r w:rsidRPr="006B0474">
        <w:rPr>
          <w:sz w:val="28"/>
          <w:szCs w:val="28"/>
        </w:rPr>
        <w:t>22,1837 рублей</w:t>
      </w:r>
      <w:r w:rsidRPr="006B0474">
        <w:rPr>
          <w:rFonts w:eastAsia="Arial Unicode MS"/>
          <w:sz w:val="28"/>
          <w:szCs w:val="28"/>
        </w:rPr>
        <w:t xml:space="preserve"> на одну обыкновенную акцию в денежной форме.  </w:t>
      </w:r>
    </w:p>
    <w:p w:rsidR="007E41D3" w:rsidRPr="006B0474" w:rsidRDefault="007E41D3" w:rsidP="007E41D3">
      <w:pPr>
        <w:keepNext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6B0474">
        <w:rPr>
          <w:rFonts w:eastAsia="Arial Unicode MS"/>
          <w:sz w:val="28"/>
          <w:szCs w:val="28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7E41D3" w:rsidRPr="006B0474" w:rsidRDefault="007E41D3" w:rsidP="007E41D3">
      <w:pPr>
        <w:keepNext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6B0474">
        <w:rPr>
          <w:rFonts w:eastAsia="Arial Unicode MS"/>
          <w:sz w:val="28"/>
          <w:szCs w:val="28"/>
        </w:rPr>
        <w:t>Определить дату составления списка лиц, имеющих право на получение дивидендов – 16 июля 2019 года.</w:t>
      </w:r>
    </w:p>
    <w:p w:rsidR="007E41D3" w:rsidRPr="006B0474" w:rsidRDefault="007E41D3" w:rsidP="007E41D3">
      <w:pPr>
        <w:widowControl w:val="0"/>
        <w:tabs>
          <w:tab w:val="left" w:pos="900"/>
        </w:tabs>
        <w:ind w:firstLine="567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 xml:space="preserve">6. Поручить представителям АО «Янтарьэнерго» на Общем собрании акционеров ОАО «Янтарьэнергосервис»:   </w:t>
      </w:r>
    </w:p>
    <w:p w:rsidR="007E41D3" w:rsidRPr="006B0474" w:rsidRDefault="007E41D3" w:rsidP="007E41D3">
      <w:pPr>
        <w:widowControl w:val="0"/>
        <w:tabs>
          <w:tab w:val="left" w:pos="900"/>
        </w:tabs>
        <w:ind w:firstLine="567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6.1. П</w:t>
      </w:r>
      <w:r w:rsidRPr="006B0474">
        <w:rPr>
          <w:sz w:val="28"/>
          <w:szCs w:val="28"/>
        </w:rPr>
        <w:t>о вопросу: «Об утверждении распределения прибыли ОАО «Янтарьэнергосервис» голосовать «ЗА» принятие следующего решения:</w:t>
      </w:r>
    </w:p>
    <w:p w:rsidR="007E41D3" w:rsidRPr="006B0474" w:rsidRDefault="007E41D3" w:rsidP="007E41D3">
      <w:pPr>
        <w:ind w:firstLine="567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 xml:space="preserve">Утвердить следующее распределение прибыли (убытков) Общества за 2018 отчетный год: 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4"/>
        <w:gridCol w:w="2268"/>
      </w:tblGrid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(тыс. руб.)</w:t>
            </w:r>
          </w:p>
        </w:tc>
      </w:tr>
      <w:tr w:rsidR="007E41D3" w:rsidRPr="006B0474" w:rsidTr="00B07BE2">
        <w:trPr>
          <w:trHeight w:val="632"/>
        </w:trPr>
        <w:tc>
          <w:tcPr>
            <w:tcW w:w="7684" w:type="dxa"/>
          </w:tcPr>
          <w:p w:rsidR="007E41D3" w:rsidRPr="006B0474" w:rsidRDefault="007E41D3" w:rsidP="00B07BE2">
            <w:pPr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  <w:p w:rsidR="007E41D3" w:rsidRPr="006B0474" w:rsidRDefault="007E41D3" w:rsidP="00B07BE2">
            <w:pPr>
              <w:tabs>
                <w:tab w:val="left" w:pos="3837"/>
              </w:tabs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6B0474">
              <w:rPr>
                <w:sz w:val="28"/>
                <w:szCs w:val="28"/>
              </w:rPr>
              <w:t xml:space="preserve">на:  </w:t>
            </w:r>
            <w:proofErr w:type="gramEnd"/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(18 102)</w:t>
            </w:r>
          </w:p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2247"/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Резервный фонд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2247"/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Дивиденды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7E41D3" w:rsidRPr="006B0474" w:rsidRDefault="007E41D3" w:rsidP="007E41D3">
      <w:pPr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sz w:val="28"/>
          <w:szCs w:val="28"/>
        </w:rPr>
        <w:t xml:space="preserve">6.2. </w:t>
      </w:r>
      <w:r w:rsidRPr="006B0474">
        <w:rPr>
          <w:bCs/>
          <w:sz w:val="28"/>
          <w:szCs w:val="28"/>
        </w:rPr>
        <w:t xml:space="preserve">По вопросу: «О   </w:t>
      </w:r>
      <w:r w:rsidRPr="006B0474">
        <w:rPr>
          <w:sz w:val="28"/>
          <w:szCs w:val="28"/>
        </w:rPr>
        <w:t xml:space="preserve"> выплате (объявлении) дивидендов</w:t>
      </w:r>
      <w:r w:rsidRPr="006B0474">
        <w:rPr>
          <w:bCs/>
          <w:sz w:val="28"/>
          <w:szCs w:val="28"/>
        </w:rPr>
        <w:t xml:space="preserve"> </w:t>
      </w:r>
      <w:r w:rsidRPr="006B0474">
        <w:rPr>
          <w:snapToGrid w:val="0"/>
          <w:sz w:val="28"/>
          <w:szCs w:val="28"/>
        </w:rPr>
        <w:t>по результатам 2018 года</w:t>
      </w:r>
      <w:r w:rsidRPr="006B0474">
        <w:rPr>
          <w:sz w:val="28"/>
          <w:szCs w:val="28"/>
        </w:rPr>
        <w:t>» голосовать «ЗА» принятие следующего решения:</w:t>
      </w:r>
      <w:r w:rsidRPr="006B0474">
        <w:rPr>
          <w:bCs/>
          <w:sz w:val="28"/>
          <w:szCs w:val="28"/>
        </w:rPr>
        <w:t xml:space="preserve"> </w:t>
      </w:r>
    </w:p>
    <w:p w:rsidR="007E41D3" w:rsidRPr="006B0474" w:rsidRDefault="007E41D3" w:rsidP="007E41D3">
      <w:pPr>
        <w:ind w:firstLine="709"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 xml:space="preserve">Не выплачивать дивиденды по обыкновенным акциям Общества по итогам 2018 года.  </w:t>
      </w:r>
    </w:p>
    <w:p w:rsidR="00D16DFE" w:rsidRDefault="00D16DFE" w:rsidP="00CE422F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D16DFE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16DFE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D16DFE" w:rsidRPr="00EE5B74" w:rsidRDefault="00D16DFE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D16DFE" w:rsidRPr="002701B3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701B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2701B3" w:rsidRDefault="00C77474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2701B3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701B3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2701B3" w:rsidRDefault="00C77474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C66365" w:rsidTr="006B0834">
        <w:tc>
          <w:tcPr>
            <w:tcW w:w="4583" w:type="dxa"/>
          </w:tcPr>
          <w:p w:rsidR="00D16DFE" w:rsidRPr="00C66365" w:rsidRDefault="00D16DFE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rPr>
          <w:trHeight w:val="310"/>
        </w:trPr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46BA" w:rsidRDefault="0062730C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7E41D3" w:rsidRDefault="00D146BA" w:rsidP="007E41D3">
      <w:pPr>
        <w:tabs>
          <w:tab w:val="right" w:pos="9356"/>
        </w:tabs>
        <w:contextualSpacing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  <w:r w:rsidR="007E41D3" w:rsidRPr="00A32A15">
        <w:rPr>
          <w:sz w:val="28"/>
          <w:szCs w:val="28"/>
        </w:rPr>
        <w:t xml:space="preserve">Принять к сведению отчет Генерального директора </w:t>
      </w:r>
      <w:r w:rsidR="007E41D3" w:rsidRPr="00A32A15">
        <w:rPr>
          <w:snapToGrid w:val="0"/>
          <w:sz w:val="28"/>
          <w:szCs w:val="28"/>
        </w:rPr>
        <w:t>АО «Янтарьэнерго»</w:t>
      </w:r>
      <w:r w:rsidR="007E41D3" w:rsidRPr="00A32A15">
        <w:rPr>
          <w:b/>
          <w:sz w:val="28"/>
          <w:szCs w:val="28"/>
        </w:rPr>
        <w:t xml:space="preserve"> </w:t>
      </w:r>
      <w:r w:rsidR="007E41D3" w:rsidRPr="00A32A15">
        <w:rPr>
          <w:sz w:val="28"/>
          <w:szCs w:val="28"/>
        </w:rPr>
        <w:t>о ходе реализации инвестиционного проекта «Строительство интеллектуальных сетей на территории Калининградской области» согласно Приложению № 1 к настоящему решению Совета директоров Общества.</w:t>
      </w:r>
    </w:p>
    <w:p w:rsidR="007E41D3" w:rsidRPr="00F5629F" w:rsidRDefault="00D146BA" w:rsidP="007E41D3">
      <w:pPr>
        <w:widowControl w:val="0"/>
        <w:tabs>
          <w:tab w:val="left" w:pos="284"/>
          <w:tab w:val="left" w:pos="567"/>
        </w:tabs>
        <w:jc w:val="both"/>
        <w:rPr>
          <w:bCs/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>По вопросу № 2:</w:t>
      </w:r>
      <w:r w:rsidR="00F47058" w:rsidRPr="005372C7">
        <w:rPr>
          <w:bCs/>
          <w:sz w:val="28"/>
          <w:szCs w:val="28"/>
        </w:rPr>
        <w:t xml:space="preserve"> </w:t>
      </w:r>
      <w:r w:rsidR="007E41D3" w:rsidRPr="00F5629F">
        <w:rPr>
          <w:bCs/>
          <w:sz w:val="28"/>
          <w:szCs w:val="28"/>
        </w:rPr>
        <w:t xml:space="preserve">Принять к сведению отчет Генерального директора </w:t>
      </w:r>
      <w:r w:rsidR="00D51CE7">
        <w:rPr>
          <w:bCs/>
          <w:sz w:val="28"/>
          <w:szCs w:val="28"/>
        </w:rPr>
        <w:t xml:space="preserve">                        </w:t>
      </w:r>
      <w:r w:rsidR="007E41D3" w:rsidRPr="00F5629F">
        <w:rPr>
          <w:bCs/>
          <w:sz w:val="28"/>
          <w:szCs w:val="28"/>
        </w:rPr>
        <w:t>АО «Янтарьэнерго» об обеспечении страховой защиты в 1 квартале 2019 года согласно Приложению № 2 к настоящему решению Совета директоров Общества.</w:t>
      </w:r>
    </w:p>
    <w:p w:rsidR="00832BD9" w:rsidRPr="00CE04C8" w:rsidRDefault="00D16DFE" w:rsidP="00832BD9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3:</w:t>
      </w:r>
      <w:r w:rsidRPr="00892B75">
        <w:t xml:space="preserve"> </w:t>
      </w:r>
      <w:r w:rsidR="007E41D3" w:rsidRPr="007708E7">
        <w:rPr>
          <w:sz w:val="28"/>
          <w:szCs w:val="28"/>
        </w:rPr>
        <w:t>Принять к сведению отчет о ходе реализации инвестиционных проектов АО «Янтарьэнерго», включенных в перечень приоритетных объектов, за 1 квартал 2019 года согласно Приложению № 3 к настоящему решению Совета директоров Общества.</w:t>
      </w:r>
    </w:p>
    <w:p w:rsidR="00832BD9" w:rsidRDefault="00D16DFE" w:rsidP="00832BD9">
      <w:pPr>
        <w:pStyle w:val="af5"/>
        <w:jc w:val="both"/>
        <w:rPr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5372C7">
        <w:rPr>
          <w:rFonts w:eastAsia="Calibri"/>
          <w:b/>
          <w:sz w:val="28"/>
          <w:szCs w:val="28"/>
          <w:lang w:eastAsia="en-US"/>
        </w:rPr>
        <w:t>:</w:t>
      </w:r>
      <w:r w:rsidR="004A0194" w:rsidRPr="004A0194">
        <w:rPr>
          <w:sz w:val="28"/>
          <w:szCs w:val="28"/>
        </w:rPr>
        <w:t xml:space="preserve"> </w:t>
      </w:r>
      <w:r w:rsidR="007E41D3" w:rsidRPr="008743AD">
        <w:rPr>
          <w:sz w:val="28"/>
          <w:szCs w:val="28"/>
        </w:rPr>
        <w:t>Утвердить «Положение о выплате вознаграждений и компенсаций членам Комитета по технологическому присоединению Совета директоров АО «Янтарьэнерго» согласно Приложению № 4 к настоящему решению Совета директоров Общества.</w:t>
      </w:r>
    </w:p>
    <w:p w:rsidR="00D16DFE" w:rsidRDefault="00D16DFE" w:rsidP="00D16DFE">
      <w:pPr>
        <w:widowControl w:val="0"/>
        <w:tabs>
          <w:tab w:val="left" w:pos="2550"/>
        </w:tabs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5:</w:t>
      </w:r>
      <w:r w:rsidRPr="00892B75">
        <w:t xml:space="preserve"> </w:t>
      </w:r>
    </w:p>
    <w:p w:rsidR="007E41D3" w:rsidRPr="008F7199" w:rsidRDefault="007E41D3" w:rsidP="007E41D3">
      <w:pPr>
        <w:numPr>
          <w:ilvl w:val="0"/>
          <w:numId w:val="23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8F7199">
        <w:rPr>
          <w:bCs/>
          <w:sz w:val="28"/>
          <w:szCs w:val="28"/>
        </w:rPr>
        <w:t xml:space="preserve">Принять к сведению отчет об исполнении Бизнес-плана </w:t>
      </w:r>
      <w:r w:rsidRPr="008F7199">
        <w:rPr>
          <w:bCs/>
          <w:sz w:val="28"/>
          <w:szCs w:val="28"/>
        </w:rPr>
        <w:br/>
        <w:t xml:space="preserve">АО «Янтарьэнерго» за 2018 год </w:t>
      </w:r>
      <w:r w:rsidRPr="008F7199">
        <w:rPr>
          <w:sz w:val="28"/>
          <w:szCs w:val="28"/>
        </w:rPr>
        <w:t>согласно Приложению № 5 к настоящему решению Совета директоров Общества.</w:t>
      </w:r>
    </w:p>
    <w:p w:rsidR="007E41D3" w:rsidRPr="008F7199" w:rsidRDefault="007E41D3" w:rsidP="007E41D3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7199">
        <w:rPr>
          <w:color w:val="000000"/>
          <w:spacing w:val="-2"/>
          <w:sz w:val="28"/>
          <w:szCs w:val="28"/>
        </w:rPr>
        <w:t>Отметить по итогам работы Общества за 2018 год</w:t>
      </w:r>
      <w:r w:rsidRPr="008F7199">
        <w:rPr>
          <w:sz w:val="28"/>
          <w:szCs w:val="28"/>
        </w:rPr>
        <w:t xml:space="preserve"> неисполнение плановых показателей согласно Приложению № 6 к настоящему решению Совета директоров Общества.</w:t>
      </w:r>
    </w:p>
    <w:p w:rsidR="007E41D3" w:rsidRPr="008F7199" w:rsidRDefault="007E41D3" w:rsidP="007E41D3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7199">
        <w:rPr>
          <w:sz w:val="28"/>
          <w:szCs w:val="28"/>
        </w:rPr>
        <w:t>Обратить внимание Генерального директора Общества на неисполнение поручений, выданного</w:t>
      </w:r>
      <w:r w:rsidRPr="008F7199">
        <w:t xml:space="preserve"> </w:t>
      </w:r>
      <w:r w:rsidRPr="008F7199">
        <w:rPr>
          <w:sz w:val="28"/>
          <w:szCs w:val="28"/>
        </w:rPr>
        <w:t>Советом директоров АО</w:t>
      </w:r>
      <w:r>
        <w:rPr>
          <w:sz w:val="28"/>
          <w:szCs w:val="28"/>
        </w:rPr>
        <w:t xml:space="preserve"> «</w:t>
      </w:r>
      <w:r w:rsidRPr="008F7199">
        <w:rPr>
          <w:sz w:val="28"/>
          <w:szCs w:val="28"/>
        </w:rPr>
        <w:t>Янтарьэнерго» согласно Приложению № 7 к настоящему решению Совета директоров Общества.</w:t>
      </w:r>
    </w:p>
    <w:p w:rsidR="006277C8" w:rsidRDefault="00D16DFE" w:rsidP="006277C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5372C7">
        <w:rPr>
          <w:rFonts w:eastAsia="Calibri"/>
          <w:b/>
          <w:sz w:val="28"/>
          <w:szCs w:val="28"/>
          <w:lang w:eastAsia="en-US"/>
        </w:rPr>
        <w:t>:</w:t>
      </w:r>
      <w:r w:rsidRPr="005372C7">
        <w:rPr>
          <w:bCs/>
          <w:sz w:val="28"/>
          <w:szCs w:val="28"/>
        </w:rPr>
        <w:t xml:space="preserve"> </w:t>
      </w:r>
    </w:p>
    <w:p w:rsidR="007E41D3" w:rsidRPr="001E3F64" w:rsidRDefault="007E41D3" w:rsidP="007E41D3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1E3F64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1E3F64">
        <w:rPr>
          <w:bCs/>
          <w:sz w:val="28"/>
          <w:szCs w:val="28"/>
        </w:rPr>
        <w:br/>
        <w:t xml:space="preserve">ОАО «Янтарьэнергосервис» по вопросу: «О рассмотрении отчета Генерального директора ОАО «Янтарьэнергосервис» об обеспечении </w:t>
      </w:r>
      <w:r w:rsidRPr="001E3F64">
        <w:rPr>
          <w:bCs/>
          <w:sz w:val="28"/>
          <w:szCs w:val="28"/>
        </w:rPr>
        <w:lastRenderedPageBreak/>
        <w:t>страховой защиты в 1 квартале 2019 г.» голосовать «ЗА» принятие следующего решения:</w:t>
      </w:r>
    </w:p>
    <w:p w:rsidR="007E41D3" w:rsidRPr="001E3F64" w:rsidRDefault="007E41D3" w:rsidP="007E41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E3F64">
        <w:rPr>
          <w:bCs/>
          <w:sz w:val="28"/>
          <w:szCs w:val="28"/>
        </w:rPr>
        <w:t xml:space="preserve">Принять к сведению отчет Генерального директора ОАО «Янтарьэнергосервис» об обеспечении страховой защиты в 1 квартале 2019 г. </w:t>
      </w:r>
      <w:r w:rsidRPr="001E3F64">
        <w:rPr>
          <w:sz w:val="28"/>
          <w:szCs w:val="28"/>
        </w:rPr>
        <w:t xml:space="preserve">согласно </w:t>
      </w:r>
      <w:proofErr w:type="gramStart"/>
      <w:r w:rsidRPr="001E3F64">
        <w:rPr>
          <w:sz w:val="28"/>
          <w:szCs w:val="28"/>
        </w:rPr>
        <w:t>Приложению</w:t>
      </w:r>
      <w:proofErr w:type="gramEnd"/>
      <w:r w:rsidRPr="001E3F64">
        <w:rPr>
          <w:sz w:val="28"/>
          <w:szCs w:val="28"/>
        </w:rPr>
        <w:t xml:space="preserve"> к настоящему решению Совета директоров Общества.</w:t>
      </w:r>
    </w:p>
    <w:p w:rsidR="00832BD9" w:rsidRDefault="00D16DFE" w:rsidP="00832BD9">
      <w:pPr>
        <w:pStyle w:val="af5"/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7:</w:t>
      </w:r>
      <w:r w:rsidRPr="00892B75">
        <w:t xml:space="preserve"> </w:t>
      </w:r>
    </w:p>
    <w:p w:rsidR="007E41D3" w:rsidRPr="00C11B84" w:rsidRDefault="007E41D3" w:rsidP="007E41D3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C11B84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C11B84">
        <w:rPr>
          <w:bCs/>
          <w:sz w:val="28"/>
          <w:szCs w:val="28"/>
        </w:rPr>
        <w:br/>
        <w:t>ОАО «Янтарьэнергосбыт» по вопросу: «Об утверждении кандидатур страховых организаций для заключения договоров страхования Общества» голосовать «ЗА» принятие следующего решения:</w:t>
      </w:r>
    </w:p>
    <w:p w:rsidR="007E41D3" w:rsidRPr="00C11B84" w:rsidRDefault="007E41D3" w:rsidP="007E41D3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C11B84">
        <w:rPr>
          <w:bCs/>
          <w:sz w:val="28"/>
          <w:szCs w:val="28"/>
        </w:rPr>
        <w:t xml:space="preserve">Утвердить в качестве страховщика </w:t>
      </w:r>
      <w:r w:rsidRPr="00C11B84">
        <w:rPr>
          <w:sz w:val="28"/>
          <w:szCs w:val="28"/>
        </w:rPr>
        <w:t>Общества</w:t>
      </w:r>
      <w:r w:rsidRPr="00C11B84">
        <w:rPr>
          <w:bCs/>
          <w:sz w:val="28"/>
          <w:szCs w:val="28"/>
        </w:rPr>
        <w:t xml:space="preserve"> следующую кандидатуру: </w:t>
      </w:r>
    </w:p>
    <w:tbl>
      <w:tblPr>
        <w:tblW w:w="1006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3"/>
        <w:gridCol w:w="3593"/>
        <w:gridCol w:w="3969"/>
      </w:tblGrid>
      <w:tr w:rsidR="007E41D3" w:rsidRPr="00C11B84" w:rsidTr="00B07BE2">
        <w:trPr>
          <w:cantSplit/>
          <w:trHeight w:val="726"/>
        </w:trPr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1D3" w:rsidRPr="00C11B84" w:rsidRDefault="007E41D3" w:rsidP="00B07BE2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C11B84">
              <w:rPr>
                <w:bCs/>
                <w:sz w:val="28"/>
                <w:szCs w:val="28"/>
                <w:lang w:val="en-US"/>
              </w:rPr>
              <w:t>Вид</w:t>
            </w:r>
            <w:proofErr w:type="spellEnd"/>
            <w:r w:rsidRPr="00C11B8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1B84">
              <w:rPr>
                <w:bCs/>
                <w:sz w:val="28"/>
                <w:szCs w:val="28"/>
                <w:lang w:val="en-US"/>
              </w:rPr>
              <w:t>страхования</w:t>
            </w:r>
            <w:proofErr w:type="spellEnd"/>
          </w:p>
        </w:tc>
        <w:tc>
          <w:tcPr>
            <w:tcW w:w="3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1D3" w:rsidRPr="00C11B84" w:rsidRDefault="007E41D3" w:rsidP="00B07BE2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C11B84">
              <w:rPr>
                <w:bCs/>
                <w:sz w:val="28"/>
                <w:szCs w:val="28"/>
                <w:lang w:val="en-US"/>
              </w:rPr>
              <w:t>Страховая</w:t>
            </w:r>
            <w:proofErr w:type="spellEnd"/>
            <w:r w:rsidRPr="00C11B8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11B84">
              <w:rPr>
                <w:bCs/>
                <w:sz w:val="28"/>
                <w:szCs w:val="28"/>
                <w:lang w:val="en-US"/>
              </w:rPr>
              <w:t>компания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1D3" w:rsidRPr="00C11B84" w:rsidRDefault="007E41D3" w:rsidP="00B07BE2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11B84">
              <w:rPr>
                <w:bCs/>
                <w:sz w:val="28"/>
                <w:szCs w:val="28"/>
              </w:rPr>
              <w:t xml:space="preserve">Период страхования </w:t>
            </w:r>
          </w:p>
          <w:p w:rsidR="007E41D3" w:rsidRPr="00C11B84" w:rsidRDefault="007E41D3" w:rsidP="00B07BE2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11B84">
              <w:rPr>
                <w:bCs/>
                <w:sz w:val="28"/>
                <w:szCs w:val="28"/>
              </w:rPr>
              <w:t>(период выдачи полисов)</w:t>
            </w:r>
          </w:p>
        </w:tc>
      </w:tr>
      <w:tr w:rsidR="007E41D3" w:rsidRPr="00C11B84" w:rsidTr="00B07BE2">
        <w:trPr>
          <w:cantSplit/>
          <w:trHeight w:val="659"/>
        </w:trPr>
        <w:tc>
          <w:tcPr>
            <w:tcW w:w="2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1D3" w:rsidRPr="00C11B84" w:rsidRDefault="007E41D3" w:rsidP="00B07BE2">
            <w:pPr>
              <w:jc w:val="center"/>
              <w:rPr>
                <w:iCs/>
                <w:sz w:val="28"/>
                <w:szCs w:val="28"/>
              </w:rPr>
            </w:pPr>
            <w:r w:rsidRPr="00C11B84">
              <w:rPr>
                <w:bCs/>
                <w:sz w:val="28"/>
                <w:szCs w:val="28"/>
              </w:rPr>
              <w:t>Добровольное страхование от несчастных случаев и болезней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1D3" w:rsidRPr="00C11B84" w:rsidRDefault="007E41D3" w:rsidP="00B07BE2">
            <w:pPr>
              <w:jc w:val="center"/>
              <w:rPr>
                <w:color w:val="000000"/>
                <w:sz w:val="28"/>
                <w:szCs w:val="28"/>
              </w:rPr>
            </w:pPr>
            <w:r w:rsidRPr="00C11B84">
              <w:rPr>
                <w:color w:val="000000"/>
                <w:sz w:val="28"/>
                <w:szCs w:val="28"/>
              </w:rPr>
              <w:t>АО «СОГАЗ»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41D3" w:rsidRPr="00C11B84" w:rsidRDefault="007E41D3" w:rsidP="00B07BE2">
            <w:pPr>
              <w:jc w:val="center"/>
              <w:rPr>
                <w:sz w:val="28"/>
                <w:szCs w:val="28"/>
              </w:rPr>
            </w:pPr>
            <w:r w:rsidRPr="00C11B84">
              <w:rPr>
                <w:sz w:val="28"/>
                <w:szCs w:val="28"/>
              </w:rPr>
              <w:t>С 22.06.2019 по 21.06.2020</w:t>
            </w:r>
          </w:p>
        </w:tc>
      </w:tr>
    </w:tbl>
    <w:p w:rsidR="007E41D3" w:rsidRDefault="007E41D3" w:rsidP="00832BD9">
      <w:pPr>
        <w:pStyle w:val="af5"/>
        <w:jc w:val="both"/>
      </w:pPr>
    </w:p>
    <w:p w:rsidR="00832BD9" w:rsidRDefault="00D16DFE" w:rsidP="00832BD9">
      <w:pPr>
        <w:pStyle w:val="af5"/>
        <w:jc w:val="both"/>
        <w:rPr>
          <w:bCs/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5372C7">
        <w:rPr>
          <w:rFonts w:eastAsia="Calibri"/>
          <w:b/>
          <w:sz w:val="28"/>
          <w:szCs w:val="28"/>
          <w:lang w:eastAsia="en-US"/>
        </w:rPr>
        <w:t>:</w:t>
      </w:r>
      <w:r w:rsidRPr="005372C7">
        <w:rPr>
          <w:bCs/>
          <w:sz w:val="28"/>
          <w:szCs w:val="28"/>
        </w:rPr>
        <w:t xml:space="preserve"> </w:t>
      </w:r>
    </w:p>
    <w:p w:rsidR="007E41D3" w:rsidRPr="006B0474" w:rsidRDefault="007E41D3" w:rsidP="007E41D3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 xml:space="preserve">1. Поручить представителям АО «Янтарьэнерго» в Совете директоров </w:t>
      </w:r>
      <w:r w:rsidRPr="006B0474">
        <w:rPr>
          <w:bCs/>
          <w:sz w:val="28"/>
          <w:szCs w:val="28"/>
        </w:rPr>
        <w:br/>
        <w:t>ОАО «Калининградская генерирующая компания»:</w:t>
      </w:r>
    </w:p>
    <w:p w:rsidR="007E41D3" w:rsidRPr="006B0474" w:rsidRDefault="007E41D3" w:rsidP="007E41D3">
      <w:pPr>
        <w:widowControl w:val="0"/>
        <w:shd w:val="clear" w:color="auto" w:fill="FFFFFF"/>
        <w:tabs>
          <w:tab w:val="left" w:pos="900"/>
        </w:tabs>
        <w:ind w:firstLine="709"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1.1. По вопросу: «О рекомендациях по распределению прибыли и убытков ОАО «Калининградская генерирующая компания» по результатам 2018 года» голосовать «ЗА» принятие следующего решения:</w:t>
      </w:r>
    </w:p>
    <w:p w:rsidR="007E41D3" w:rsidRDefault="007E41D3" w:rsidP="007E41D3">
      <w:pPr>
        <w:ind w:firstLine="708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Рекомендовать годовому Общему собранию акционеров Общества утвердить следующее распределение прибыли Общества за 2018 отчетный   год:</w:t>
      </w:r>
    </w:p>
    <w:p w:rsidR="007E41D3" w:rsidRPr="006B0474" w:rsidRDefault="007E41D3" w:rsidP="007E41D3">
      <w:pPr>
        <w:ind w:firstLine="708"/>
        <w:contextualSpacing/>
        <w:jc w:val="both"/>
        <w:rPr>
          <w:bCs/>
          <w:sz w:val="28"/>
          <w:szCs w:val="28"/>
        </w:rPr>
      </w:pPr>
    </w:p>
    <w:tbl>
      <w:tblPr>
        <w:tblW w:w="10017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9"/>
        <w:gridCol w:w="2318"/>
      </w:tblGrid>
      <w:tr w:rsidR="007E41D3" w:rsidRPr="006B0474" w:rsidTr="00B07BE2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(тыс. руб.)</w:t>
            </w:r>
          </w:p>
        </w:tc>
      </w:tr>
      <w:tr w:rsidR="007E41D3" w:rsidRPr="006B0474" w:rsidTr="00B07BE2">
        <w:trPr>
          <w:trHeight w:val="616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6B0474">
              <w:rPr>
                <w:sz w:val="28"/>
                <w:szCs w:val="28"/>
              </w:rPr>
              <w:t xml:space="preserve">на:  </w:t>
            </w:r>
            <w:proofErr w:type="gram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123 297</w:t>
            </w:r>
          </w:p>
        </w:tc>
      </w:tr>
      <w:tr w:rsidR="007E41D3" w:rsidRPr="006B0474" w:rsidTr="00B07BE2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Резервный фонд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6 165</w:t>
            </w:r>
          </w:p>
        </w:tc>
      </w:tr>
      <w:tr w:rsidR="007E41D3" w:rsidRPr="006B0474" w:rsidTr="00B07BE2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6B0474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rPr>
          <w:trHeight w:val="28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6B0474">
              <w:rPr>
                <w:sz w:val="28"/>
                <w:szCs w:val="28"/>
              </w:rPr>
              <w:t xml:space="preserve">  Погашение убытков прошлых лет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6B0474">
              <w:rPr>
                <w:sz w:val="28"/>
                <w:szCs w:val="28"/>
                <w:lang w:val="en-US"/>
              </w:rPr>
              <w:t>1</w:t>
            </w:r>
            <w:r w:rsidRPr="006B0474">
              <w:rPr>
                <w:sz w:val="28"/>
                <w:szCs w:val="28"/>
              </w:rPr>
              <w:t>17 132</w:t>
            </w:r>
          </w:p>
        </w:tc>
      </w:tr>
    </w:tbl>
    <w:p w:rsidR="007E41D3" w:rsidRPr="006B0474" w:rsidRDefault="007E41D3" w:rsidP="007E41D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1.2. По вопросу: «О рекомендациях по размеру дивидендов по акциям ОАО «Калининградская генерирующая компания» за 2018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 голосовать «ЗА» принятие следующего решения:</w:t>
      </w:r>
    </w:p>
    <w:p w:rsidR="007E41D3" w:rsidRPr="006B0474" w:rsidRDefault="007E41D3" w:rsidP="007E41D3">
      <w:pPr>
        <w:ind w:firstLine="709"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Рекомендовать годовому Общему собранию акционеров принять следующее решение:</w:t>
      </w:r>
    </w:p>
    <w:p w:rsidR="007E41D3" w:rsidRPr="006B0474" w:rsidRDefault="007E41D3" w:rsidP="007E41D3">
      <w:pPr>
        <w:ind w:firstLine="709"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lastRenderedPageBreak/>
        <w:t xml:space="preserve">Не выплачивать дивиденды по обыкновенным акциям Общества по итогам 2018 года.  </w:t>
      </w:r>
    </w:p>
    <w:p w:rsidR="007E41D3" w:rsidRPr="006B0474" w:rsidRDefault="007E41D3" w:rsidP="007E41D3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6B0474">
        <w:rPr>
          <w:sz w:val="28"/>
          <w:szCs w:val="28"/>
        </w:rPr>
        <w:t xml:space="preserve">2. </w:t>
      </w:r>
      <w:r w:rsidRPr="006B0474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6B0474">
        <w:rPr>
          <w:bCs/>
          <w:sz w:val="28"/>
          <w:szCs w:val="28"/>
        </w:rPr>
        <w:br/>
        <w:t>ОАО «Янтарьэнергосбыт»:</w:t>
      </w:r>
    </w:p>
    <w:p w:rsidR="007E41D3" w:rsidRPr="006B0474" w:rsidRDefault="007E41D3" w:rsidP="007E41D3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6B0474">
        <w:rPr>
          <w:bCs/>
          <w:sz w:val="28"/>
          <w:szCs w:val="28"/>
        </w:rPr>
        <w:t>2.1. П</w:t>
      </w:r>
      <w:r w:rsidRPr="006B0474">
        <w:rPr>
          <w:bCs/>
          <w:iCs/>
          <w:sz w:val="28"/>
          <w:szCs w:val="28"/>
        </w:rPr>
        <w:t xml:space="preserve">о вопросу: «О рекомендациях по распределению прибыли и убытков ОАО «Янтарьэнергосбыт» по результатам 2018 года» </w:t>
      </w:r>
      <w:r w:rsidRPr="006B0474">
        <w:rPr>
          <w:sz w:val="28"/>
          <w:szCs w:val="28"/>
        </w:rPr>
        <w:t>голосовать «ЗА» принятие следующего решения:</w:t>
      </w:r>
    </w:p>
    <w:p w:rsidR="007E41D3" w:rsidRPr="006B0474" w:rsidRDefault="007E41D3" w:rsidP="007E41D3">
      <w:pPr>
        <w:ind w:firstLine="708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>Рекомендовать годовому Общему собранию акционеров Общества утвердить следующее распределение прибыли (убытков) Общества за 2018 отчетный год: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4"/>
        <w:gridCol w:w="2268"/>
      </w:tblGrid>
      <w:tr w:rsidR="007E41D3" w:rsidRPr="006B0474" w:rsidTr="00B07BE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(тыс. руб.)</w:t>
            </w:r>
          </w:p>
        </w:tc>
      </w:tr>
      <w:tr w:rsidR="007E41D3" w:rsidRPr="006B0474" w:rsidTr="00B07BE2">
        <w:trPr>
          <w:trHeight w:val="608"/>
        </w:trPr>
        <w:tc>
          <w:tcPr>
            <w:tcW w:w="7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E41D3" w:rsidRPr="006B0474" w:rsidRDefault="007E41D3" w:rsidP="00B07BE2">
            <w:pPr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  <w:p w:rsidR="007E41D3" w:rsidRPr="006B0474" w:rsidRDefault="007E41D3" w:rsidP="00B07BE2">
            <w:pPr>
              <w:tabs>
                <w:tab w:val="left" w:pos="2247"/>
              </w:tabs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6B0474">
              <w:rPr>
                <w:sz w:val="28"/>
                <w:szCs w:val="28"/>
              </w:rPr>
              <w:t xml:space="preserve">на: 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19 078</w:t>
            </w:r>
          </w:p>
        </w:tc>
      </w:tr>
      <w:tr w:rsidR="007E41D3" w:rsidRPr="006B0474" w:rsidTr="00B07BE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tabs>
                <w:tab w:val="left" w:pos="224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 Резервный фонд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1D3" w:rsidRPr="006B0474" w:rsidRDefault="007E41D3" w:rsidP="00B07BE2">
            <w:pPr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 Прибыль на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1D3" w:rsidRPr="006B0474" w:rsidRDefault="007E41D3" w:rsidP="00B07BE2">
            <w:pPr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 Дивиденды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9 539</w:t>
            </w:r>
          </w:p>
        </w:tc>
      </w:tr>
      <w:tr w:rsidR="007E41D3" w:rsidRPr="006B0474" w:rsidTr="00B07BE2"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1D3" w:rsidRPr="006B0474" w:rsidRDefault="007E41D3" w:rsidP="00B07BE2">
            <w:pPr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 Погашение убытков прошлых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9 539</w:t>
            </w:r>
          </w:p>
        </w:tc>
      </w:tr>
    </w:tbl>
    <w:p w:rsidR="007E41D3" w:rsidRDefault="007E41D3" w:rsidP="007E41D3">
      <w:pPr>
        <w:ind w:firstLine="709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>2.2. По вопросу: «</w:t>
      </w:r>
      <w:r w:rsidRPr="006B0474">
        <w:rPr>
          <w:color w:val="000000"/>
          <w:spacing w:val="-3"/>
          <w:w w:val="102"/>
          <w:sz w:val="28"/>
          <w:szCs w:val="28"/>
        </w:rPr>
        <w:t>О рекомендациях по размеру дивидендов по акциям ОАО «Янтарьэнергосбыт» за 2018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</w:t>
      </w:r>
      <w:r w:rsidRPr="006B0474">
        <w:rPr>
          <w:bCs/>
          <w:iCs/>
          <w:sz w:val="28"/>
          <w:szCs w:val="28"/>
        </w:rPr>
        <w:t xml:space="preserve"> </w:t>
      </w:r>
      <w:r w:rsidRPr="006B0474">
        <w:rPr>
          <w:sz w:val="28"/>
          <w:szCs w:val="28"/>
        </w:rPr>
        <w:t>голосовать «ЗА» принятие следующего решения:</w:t>
      </w:r>
    </w:p>
    <w:p w:rsidR="007E41D3" w:rsidRPr="006B0474" w:rsidRDefault="007E41D3" w:rsidP="007E41D3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>Рекомендовать годовому Общему собранию акционеров Общества принять следующее решение:</w:t>
      </w:r>
    </w:p>
    <w:p w:rsidR="007E41D3" w:rsidRPr="006B0474" w:rsidRDefault="007E41D3" w:rsidP="007E41D3">
      <w:pPr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6B0474">
        <w:rPr>
          <w:rFonts w:eastAsia="Arial Unicode MS"/>
          <w:sz w:val="28"/>
          <w:szCs w:val="28"/>
        </w:rPr>
        <w:t xml:space="preserve">Выплатить дивиденды по обыкновенным акциям Общества по итогам 2018 года в размере </w:t>
      </w:r>
      <w:r w:rsidRPr="006B0474">
        <w:rPr>
          <w:sz w:val="28"/>
          <w:szCs w:val="28"/>
        </w:rPr>
        <w:t>22,1837 рублей</w:t>
      </w:r>
      <w:r w:rsidRPr="006B0474">
        <w:rPr>
          <w:rFonts w:eastAsia="Arial Unicode MS"/>
          <w:sz w:val="28"/>
          <w:szCs w:val="28"/>
        </w:rPr>
        <w:t xml:space="preserve"> на одну обыкновенную акцию в денежной форме.  </w:t>
      </w:r>
    </w:p>
    <w:p w:rsidR="007E41D3" w:rsidRPr="006B0474" w:rsidRDefault="007E41D3" w:rsidP="007E41D3">
      <w:pPr>
        <w:keepNext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6B0474">
        <w:rPr>
          <w:rFonts w:eastAsia="Arial Unicode MS"/>
          <w:sz w:val="28"/>
          <w:szCs w:val="28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7E41D3" w:rsidRPr="006B0474" w:rsidRDefault="007E41D3" w:rsidP="007E41D3">
      <w:pPr>
        <w:keepNext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6B0474">
        <w:rPr>
          <w:rFonts w:eastAsia="Arial Unicode MS"/>
          <w:sz w:val="28"/>
          <w:szCs w:val="28"/>
        </w:rPr>
        <w:t>Определить дату составления списка лиц, имеющих право на получение дивидендов – 16 июля 2019 года.</w:t>
      </w:r>
    </w:p>
    <w:p w:rsidR="007E41D3" w:rsidRPr="006B0474" w:rsidRDefault="007E41D3" w:rsidP="007E41D3">
      <w:pPr>
        <w:widowControl w:val="0"/>
        <w:tabs>
          <w:tab w:val="left" w:pos="284"/>
          <w:tab w:val="left" w:pos="567"/>
        </w:tabs>
        <w:ind w:firstLine="709"/>
        <w:jc w:val="both"/>
        <w:rPr>
          <w:bCs/>
          <w:sz w:val="28"/>
          <w:szCs w:val="28"/>
        </w:rPr>
      </w:pPr>
      <w:r w:rsidRPr="006B0474">
        <w:rPr>
          <w:sz w:val="28"/>
          <w:szCs w:val="28"/>
        </w:rPr>
        <w:t xml:space="preserve">3. </w:t>
      </w:r>
      <w:r w:rsidRPr="006B0474">
        <w:rPr>
          <w:bCs/>
          <w:sz w:val="28"/>
          <w:szCs w:val="28"/>
        </w:rPr>
        <w:t xml:space="preserve">Поручить представителям АО «Янтарьэнерго» в Совете директоров </w:t>
      </w:r>
      <w:r w:rsidRPr="006B0474">
        <w:rPr>
          <w:bCs/>
          <w:sz w:val="28"/>
          <w:szCs w:val="28"/>
        </w:rPr>
        <w:br/>
        <w:t>ОАО «Янтарьэнергосервис»:</w:t>
      </w:r>
    </w:p>
    <w:p w:rsidR="007E41D3" w:rsidRPr="006B0474" w:rsidRDefault="007E41D3" w:rsidP="007E41D3">
      <w:pPr>
        <w:ind w:firstLine="709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 xml:space="preserve">3.1. </w:t>
      </w:r>
      <w:r w:rsidRPr="006B0474">
        <w:rPr>
          <w:bCs/>
          <w:iCs/>
          <w:sz w:val="28"/>
          <w:szCs w:val="28"/>
        </w:rPr>
        <w:t xml:space="preserve">По вопросу: «О рекомендациях по распределению прибыли и убытков ОАО «Янтарьэнергосервис» по результатам 2018 года» </w:t>
      </w:r>
      <w:r w:rsidRPr="006B0474">
        <w:rPr>
          <w:sz w:val="28"/>
          <w:szCs w:val="28"/>
        </w:rPr>
        <w:t>голосовать «ЗА» принятие следующего решения:</w:t>
      </w:r>
    </w:p>
    <w:p w:rsidR="007E41D3" w:rsidRDefault="007E41D3" w:rsidP="007E41D3">
      <w:pPr>
        <w:ind w:firstLine="567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>Рекомендовать годовому Общему собранию акционеров Общества утвердить следующее распределение прибыли (убытков) Общества за 2018 отчетный год:</w:t>
      </w:r>
    </w:p>
    <w:p w:rsidR="00D51CE7" w:rsidRDefault="00D51CE7" w:rsidP="007E41D3">
      <w:pPr>
        <w:ind w:firstLine="567"/>
        <w:contextualSpacing/>
        <w:jc w:val="both"/>
        <w:rPr>
          <w:sz w:val="28"/>
          <w:szCs w:val="28"/>
        </w:rPr>
      </w:pPr>
    </w:p>
    <w:p w:rsidR="00D51CE7" w:rsidRPr="006B0474" w:rsidRDefault="00D51CE7" w:rsidP="007E41D3">
      <w:pPr>
        <w:ind w:firstLine="567"/>
        <w:contextualSpacing/>
        <w:jc w:val="both"/>
        <w:rPr>
          <w:sz w:val="28"/>
          <w:szCs w:val="28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4"/>
        <w:gridCol w:w="2268"/>
      </w:tblGrid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ind w:firstLine="491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lastRenderedPageBreak/>
              <w:t xml:space="preserve">  Наименование </w:t>
            </w:r>
          </w:p>
        </w:tc>
        <w:tc>
          <w:tcPr>
            <w:tcW w:w="2268" w:type="dxa"/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(тыс. руб.)</w:t>
            </w:r>
          </w:p>
        </w:tc>
      </w:tr>
      <w:tr w:rsidR="007E41D3" w:rsidRPr="006B0474" w:rsidTr="00B07BE2">
        <w:trPr>
          <w:trHeight w:val="632"/>
        </w:trPr>
        <w:tc>
          <w:tcPr>
            <w:tcW w:w="7684" w:type="dxa"/>
          </w:tcPr>
          <w:p w:rsidR="007E41D3" w:rsidRPr="006B0474" w:rsidRDefault="007E41D3" w:rsidP="00B07BE2">
            <w:pPr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  <w:p w:rsidR="007E41D3" w:rsidRPr="006B0474" w:rsidRDefault="007E41D3" w:rsidP="00B07BE2">
            <w:pPr>
              <w:tabs>
                <w:tab w:val="left" w:pos="3837"/>
              </w:tabs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6B0474">
              <w:rPr>
                <w:sz w:val="28"/>
                <w:szCs w:val="28"/>
              </w:rPr>
              <w:t xml:space="preserve">на:  </w:t>
            </w:r>
            <w:proofErr w:type="gramEnd"/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(18 102)</w:t>
            </w:r>
          </w:p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Резервный фонд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2247"/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Дивиденды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7E41D3" w:rsidRPr="006B0474" w:rsidRDefault="007E41D3" w:rsidP="007E41D3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>3.2. По вопросу: «</w:t>
      </w:r>
      <w:r w:rsidRPr="006B0474">
        <w:rPr>
          <w:color w:val="000000"/>
          <w:spacing w:val="-3"/>
          <w:w w:val="102"/>
          <w:sz w:val="28"/>
          <w:szCs w:val="28"/>
        </w:rPr>
        <w:t>О рекомендациях по размеру дивидендов по акциям ОАО «Янтарьэнергосервис» за 2018 год, порядку их выплаты и о предложениях годовому Общему собранию акционеров по определению даты, на которую определяются лица, имеющие право на получение дивидендов»</w:t>
      </w:r>
      <w:r w:rsidRPr="006B0474">
        <w:rPr>
          <w:sz w:val="28"/>
          <w:szCs w:val="28"/>
        </w:rPr>
        <w:t xml:space="preserve"> голосовать «ЗА» принятие следующего решения:</w:t>
      </w:r>
    </w:p>
    <w:p w:rsidR="007E41D3" w:rsidRPr="006B0474" w:rsidRDefault="007E41D3" w:rsidP="007E41D3">
      <w:pPr>
        <w:widowControl w:val="0"/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>Рекомендовать годовому Общему собранию акционеров Общества принять следующее решение:</w:t>
      </w:r>
    </w:p>
    <w:p w:rsidR="007E41D3" w:rsidRPr="006B0474" w:rsidRDefault="007E41D3" w:rsidP="007E41D3">
      <w:pPr>
        <w:ind w:firstLine="709"/>
        <w:jc w:val="both"/>
        <w:rPr>
          <w:sz w:val="28"/>
          <w:szCs w:val="28"/>
        </w:rPr>
      </w:pPr>
      <w:r w:rsidRPr="006B0474">
        <w:rPr>
          <w:sz w:val="28"/>
          <w:szCs w:val="28"/>
        </w:rPr>
        <w:t xml:space="preserve">Не выплачивать дивиденды по обыкновенным акциям Общества по итогам 2018 года.  </w:t>
      </w:r>
    </w:p>
    <w:p w:rsidR="007E41D3" w:rsidRPr="006B0474" w:rsidRDefault="007E41D3" w:rsidP="007E41D3">
      <w:pPr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4. Поручить представителям АО «Янтарьэнерго» на Общем собрании акционеров ОАО «Калининградская генерирующая компания»:</w:t>
      </w:r>
    </w:p>
    <w:p w:rsidR="007E41D3" w:rsidRPr="006B0474" w:rsidRDefault="007E41D3" w:rsidP="007E41D3">
      <w:pPr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4.1.</w:t>
      </w:r>
      <w:r w:rsidRPr="006B0474">
        <w:rPr>
          <w:sz w:val="28"/>
          <w:szCs w:val="28"/>
        </w:rPr>
        <w:t xml:space="preserve"> По вопросу: «Об утверждении распределения прибыли ОАО «Калининградская генерирующая компания» голосовать «ЗА» принятие следующего решения:</w:t>
      </w:r>
    </w:p>
    <w:p w:rsidR="007E41D3" w:rsidRPr="006B0474" w:rsidRDefault="007E41D3" w:rsidP="007E41D3">
      <w:pPr>
        <w:ind w:firstLine="709"/>
        <w:contextualSpacing/>
        <w:jc w:val="both"/>
        <w:rPr>
          <w:sz w:val="28"/>
          <w:szCs w:val="28"/>
        </w:rPr>
      </w:pPr>
      <w:r w:rsidRPr="006B0474">
        <w:rPr>
          <w:sz w:val="28"/>
          <w:szCs w:val="28"/>
        </w:rPr>
        <w:t>Утвердить следующее распределение прибыли (убытков) Общества за 2018 отчетный год:</w:t>
      </w:r>
    </w:p>
    <w:tbl>
      <w:tblPr>
        <w:tblW w:w="10017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99"/>
        <w:gridCol w:w="2318"/>
      </w:tblGrid>
      <w:tr w:rsidR="007E41D3" w:rsidRPr="006B0474" w:rsidTr="00B07BE2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(тыс. руб.)</w:t>
            </w:r>
          </w:p>
        </w:tc>
      </w:tr>
      <w:tr w:rsidR="007E41D3" w:rsidRPr="006B0474" w:rsidTr="00B07BE2">
        <w:trPr>
          <w:trHeight w:val="616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6B0474">
              <w:rPr>
                <w:sz w:val="28"/>
                <w:szCs w:val="28"/>
              </w:rPr>
              <w:t xml:space="preserve">на:  </w:t>
            </w:r>
            <w:proofErr w:type="gramEnd"/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123 297</w:t>
            </w:r>
          </w:p>
        </w:tc>
      </w:tr>
      <w:tr w:rsidR="007E41D3" w:rsidRPr="006B0474" w:rsidTr="00B07BE2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Резервный фонд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6 165</w:t>
            </w:r>
          </w:p>
        </w:tc>
      </w:tr>
      <w:tr w:rsidR="007E41D3" w:rsidRPr="006B0474" w:rsidTr="00B07BE2">
        <w:trPr>
          <w:trHeight w:val="295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rPr>
          <w:trHeight w:val="302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6B0474">
              <w:rPr>
                <w:sz w:val="28"/>
                <w:szCs w:val="28"/>
              </w:rPr>
              <w:t xml:space="preserve">  Дивиденды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rPr>
          <w:trHeight w:val="281"/>
        </w:trPr>
        <w:tc>
          <w:tcPr>
            <w:tcW w:w="7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ind w:firstLine="567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  <w:lang w:val="en-US"/>
              </w:rPr>
              <w:t xml:space="preserve">                             </w:t>
            </w:r>
            <w:r w:rsidRPr="006B0474">
              <w:rPr>
                <w:sz w:val="28"/>
                <w:szCs w:val="28"/>
              </w:rPr>
              <w:t xml:space="preserve">  Погашение убытков прошлых лет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6B0474">
              <w:rPr>
                <w:sz w:val="28"/>
                <w:szCs w:val="28"/>
                <w:lang w:val="en-US"/>
              </w:rPr>
              <w:t>1</w:t>
            </w:r>
            <w:r w:rsidRPr="006B0474">
              <w:rPr>
                <w:sz w:val="28"/>
                <w:szCs w:val="28"/>
              </w:rPr>
              <w:t>17 132</w:t>
            </w:r>
          </w:p>
        </w:tc>
      </w:tr>
    </w:tbl>
    <w:p w:rsidR="007E41D3" w:rsidRPr="006B0474" w:rsidRDefault="007E41D3" w:rsidP="007E41D3">
      <w:pPr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 xml:space="preserve">4.2. По вопросу: «О </w:t>
      </w:r>
      <w:r w:rsidRPr="006B0474">
        <w:rPr>
          <w:sz w:val="28"/>
          <w:szCs w:val="28"/>
        </w:rPr>
        <w:t>выплате (объявлении) дивидендов</w:t>
      </w:r>
      <w:r w:rsidRPr="006B0474">
        <w:rPr>
          <w:bCs/>
          <w:sz w:val="28"/>
          <w:szCs w:val="28"/>
        </w:rPr>
        <w:t xml:space="preserve"> </w:t>
      </w:r>
      <w:r w:rsidRPr="006B0474">
        <w:rPr>
          <w:snapToGrid w:val="0"/>
          <w:sz w:val="28"/>
          <w:szCs w:val="28"/>
        </w:rPr>
        <w:t>по результатам 2018 года</w:t>
      </w:r>
      <w:r w:rsidRPr="006B0474">
        <w:rPr>
          <w:sz w:val="28"/>
          <w:szCs w:val="28"/>
        </w:rPr>
        <w:t>» голосовать «ЗА» принятие следующего решения:</w:t>
      </w:r>
    </w:p>
    <w:p w:rsidR="007E41D3" w:rsidRPr="006B0474" w:rsidRDefault="007E41D3" w:rsidP="007E41D3">
      <w:pPr>
        <w:ind w:firstLine="709"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 xml:space="preserve">Не выплачивать дивиденды по обыкновенным акциям Общества по итогам 2018 года.  </w:t>
      </w:r>
    </w:p>
    <w:p w:rsidR="007E41D3" w:rsidRPr="006B0474" w:rsidRDefault="007E41D3" w:rsidP="007E41D3">
      <w:pPr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sz w:val="28"/>
          <w:szCs w:val="28"/>
        </w:rPr>
        <w:t xml:space="preserve">5. </w:t>
      </w:r>
      <w:r w:rsidRPr="006B0474">
        <w:rPr>
          <w:bCs/>
          <w:sz w:val="28"/>
          <w:szCs w:val="28"/>
        </w:rPr>
        <w:t>Поручить представителям АО «Янтарьэнерго» на Общем собрании акционеров ОАО «Янтарьэнергосбыт»</w:t>
      </w:r>
      <w:r>
        <w:rPr>
          <w:bCs/>
          <w:sz w:val="28"/>
          <w:szCs w:val="28"/>
        </w:rPr>
        <w:t>:</w:t>
      </w:r>
      <w:r w:rsidRPr="006B0474">
        <w:rPr>
          <w:bCs/>
          <w:sz w:val="28"/>
          <w:szCs w:val="28"/>
        </w:rPr>
        <w:t xml:space="preserve">    </w:t>
      </w:r>
    </w:p>
    <w:p w:rsidR="007E41D3" w:rsidRPr="006B0474" w:rsidRDefault="007E41D3" w:rsidP="007E41D3">
      <w:pPr>
        <w:widowControl w:val="0"/>
        <w:tabs>
          <w:tab w:val="left" w:pos="900"/>
        </w:tabs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5.1. По вопросу</w:t>
      </w:r>
      <w:r w:rsidRPr="006B0474">
        <w:rPr>
          <w:sz w:val="28"/>
          <w:szCs w:val="28"/>
        </w:rPr>
        <w:t>: «Об утверждении распределения прибыли ОАО «Янтарьэнергосбыт»</w:t>
      </w:r>
      <w:r w:rsidRPr="006B0474">
        <w:rPr>
          <w:bCs/>
          <w:sz w:val="28"/>
          <w:szCs w:val="28"/>
        </w:rPr>
        <w:t xml:space="preserve"> </w:t>
      </w:r>
      <w:r w:rsidRPr="006B0474">
        <w:rPr>
          <w:sz w:val="28"/>
          <w:szCs w:val="28"/>
        </w:rPr>
        <w:t>голосовать «ЗА» принятие следующего решения:</w:t>
      </w:r>
    </w:p>
    <w:p w:rsidR="007E41D3" w:rsidRPr="006B0474" w:rsidRDefault="007E41D3" w:rsidP="007E41D3">
      <w:pPr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 xml:space="preserve">Утвердить следующее распределение прибыли (убытков) Общества за 2018 отчетный год: 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2268"/>
      </w:tblGrid>
      <w:tr w:rsidR="007E41D3" w:rsidRPr="006B0474" w:rsidTr="00B07BE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ind w:firstLine="600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(тыс. руб.)</w:t>
            </w:r>
          </w:p>
        </w:tc>
      </w:tr>
      <w:tr w:rsidR="007E41D3" w:rsidRPr="006B0474" w:rsidTr="00B07BE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ind w:firstLine="600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  <w:p w:rsidR="007E41D3" w:rsidRPr="006B0474" w:rsidRDefault="007E41D3" w:rsidP="00B07BE2">
            <w:pPr>
              <w:ind w:firstLine="600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6B0474">
              <w:rPr>
                <w:sz w:val="28"/>
                <w:szCs w:val="28"/>
              </w:rPr>
              <w:t xml:space="preserve">на: 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19 078</w:t>
            </w:r>
          </w:p>
        </w:tc>
      </w:tr>
      <w:tr w:rsidR="007E41D3" w:rsidRPr="006B0474" w:rsidTr="00B07BE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 Резервный фонд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lastRenderedPageBreak/>
              <w:t xml:space="preserve">                                Прибыль на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0</w:t>
            </w:r>
          </w:p>
        </w:tc>
      </w:tr>
      <w:tr w:rsidR="007E41D3" w:rsidRPr="006B0474" w:rsidTr="00B07BE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 Дивиденды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9 539</w:t>
            </w:r>
          </w:p>
        </w:tc>
      </w:tr>
      <w:tr w:rsidR="007E41D3" w:rsidRPr="006B0474" w:rsidTr="00B07BE2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 Погашение убытков прошлых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9 539</w:t>
            </w:r>
          </w:p>
        </w:tc>
      </w:tr>
    </w:tbl>
    <w:p w:rsidR="007E41D3" w:rsidRPr="006B0474" w:rsidRDefault="007E41D3" w:rsidP="007E41D3">
      <w:pPr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5.2. По вопросу</w:t>
      </w:r>
      <w:r>
        <w:rPr>
          <w:bCs/>
          <w:sz w:val="28"/>
          <w:szCs w:val="28"/>
        </w:rPr>
        <w:t>:</w:t>
      </w:r>
      <w:r w:rsidRPr="006B0474">
        <w:rPr>
          <w:bCs/>
          <w:sz w:val="28"/>
          <w:szCs w:val="28"/>
        </w:rPr>
        <w:t xml:space="preserve"> «О   </w:t>
      </w:r>
      <w:r w:rsidRPr="006B0474">
        <w:rPr>
          <w:sz w:val="28"/>
          <w:szCs w:val="28"/>
        </w:rPr>
        <w:t xml:space="preserve"> выплате (объявлении) дивидендов</w:t>
      </w:r>
      <w:r w:rsidRPr="006B0474">
        <w:rPr>
          <w:bCs/>
          <w:sz w:val="28"/>
          <w:szCs w:val="28"/>
        </w:rPr>
        <w:t xml:space="preserve"> </w:t>
      </w:r>
      <w:r w:rsidRPr="006B0474">
        <w:rPr>
          <w:snapToGrid w:val="0"/>
          <w:sz w:val="28"/>
          <w:szCs w:val="28"/>
        </w:rPr>
        <w:t>по результатам 2018 года</w:t>
      </w:r>
      <w:r w:rsidRPr="006B0474">
        <w:rPr>
          <w:sz w:val="28"/>
          <w:szCs w:val="28"/>
        </w:rPr>
        <w:t>» голосовать «ЗА» принятие следующего решения:</w:t>
      </w:r>
      <w:r w:rsidRPr="006B0474">
        <w:rPr>
          <w:bCs/>
          <w:sz w:val="28"/>
          <w:szCs w:val="28"/>
        </w:rPr>
        <w:t xml:space="preserve"> </w:t>
      </w:r>
    </w:p>
    <w:p w:rsidR="007E41D3" w:rsidRPr="006B0474" w:rsidRDefault="007E41D3" w:rsidP="007E41D3">
      <w:pPr>
        <w:keepNext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6B0474">
        <w:rPr>
          <w:rFonts w:eastAsia="Arial Unicode MS"/>
          <w:sz w:val="28"/>
          <w:szCs w:val="28"/>
        </w:rPr>
        <w:t xml:space="preserve">Выплатить дивиденды по обыкновенным акциям Общества по итогам 2018 года в размере </w:t>
      </w:r>
      <w:r w:rsidRPr="006B0474">
        <w:rPr>
          <w:sz w:val="28"/>
          <w:szCs w:val="28"/>
        </w:rPr>
        <w:t>22,1837 рублей</w:t>
      </w:r>
      <w:r w:rsidRPr="006B0474">
        <w:rPr>
          <w:rFonts w:eastAsia="Arial Unicode MS"/>
          <w:sz w:val="28"/>
          <w:szCs w:val="28"/>
        </w:rPr>
        <w:t xml:space="preserve"> на одну обыкновенную акцию в денежной форме.  </w:t>
      </w:r>
    </w:p>
    <w:p w:rsidR="007E41D3" w:rsidRPr="006B0474" w:rsidRDefault="007E41D3" w:rsidP="007E41D3">
      <w:pPr>
        <w:keepNext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6B0474">
        <w:rPr>
          <w:rFonts w:eastAsia="Arial Unicode MS"/>
          <w:sz w:val="28"/>
          <w:szCs w:val="28"/>
        </w:rPr>
        <w:t>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дней, другим зарегистрированным в реестре акционерам - 25 рабочих дней с даты составления списка лиц, имеющих право на получение дивидендов.</w:t>
      </w:r>
    </w:p>
    <w:p w:rsidR="007E41D3" w:rsidRPr="006B0474" w:rsidRDefault="007E41D3" w:rsidP="007E41D3">
      <w:pPr>
        <w:keepNext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6B0474">
        <w:rPr>
          <w:rFonts w:eastAsia="Arial Unicode MS"/>
          <w:sz w:val="28"/>
          <w:szCs w:val="28"/>
        </w:rPr>
        <w:t>Определить дату составления списка лиц, имеющих право на получение дивидендов – 16 июля 2019 года.</w:t>
      </w:r>
    </w:p>
    <w:p w:rsidR="007E41D3" w:rsidRPr="006B0474" w:rsidRDefault="007E41D3" w:rsidP="007E41D3">
      <w:pPr>
        <w:widowControl w:val="0"/>
        <w:tabs>
          <w:tab w:val="left" w:pos="900"/>
        </w:tabs>
        <w:ind w:firstLine="567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 xml:space="preserve">6. Поручить представителям АО «Янтарьэнерго» на Общем собрании акционеров ОАО «Янтарьэнергосервис»:   </w:t>
      </w:r>
    </w:p>
    <w:p w:rsidR="007E41D3" w:rsidRPr="006B0474" w:rsidRDefault="007E41D3" w:rsidP="007E41D3">
      <w:pPr>
        <w:widowControl w:val="0"/>
        <w:tabs>
          <w:tab w:val="left" w:pos="900"/>
        </w:tabs>
        <w:ind w:firstLine="567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>6.1. П</w:t>
      </w:r>
      <w:r w:rsidRPr="006B0474">
        <w:rPr>
          <w:sz w:val="28"/>
          <w:szCs w:val="28"/>
        </w:rPr>
        <w:t>о вопросу: «Об утверждении распределения прибыли ОАО «Янтарьэнергосервис» голосовать «ЗА» принятие следующего решения:</w:t>
      </w:r>
    </w:p>
    <w:p w:rsidR="007E41D3" w:rsidRPr="006B0474" w:rsidRDefault="007E41D3" w:rsidP="007E41D3">
      <w:pPr>
        <w:ind w:firstLine="567"/>
        <w:contextualSpacing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 xml:space="preserve">Утвердить следующее распределение прибыли (убытков) Общества за 2018 отчетный год: 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4"/>
        <w:gridCol w:w="2268"/>
      </w:tblGrid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7E41D3" w:rsidRPr="006B0474" w:rsidRDefault="007E41D3" w:rsidP="00B07BE2">
            <w:pPr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(тыс. руб.)</w:t>
            </w:r>
          </w:p>
        </w:tc>
      </w:tr>
      <w:tr w:rsidR="007E41D3" w:rsidRPr="006B0474" w:rsidTr="00B07BE2">
        <w:trPr>
          <w:trHeight w:val="632"/>
        </w:trPr>
        <w:tc>
          <w:tcPr>
            <w:tcW w:w="7684" w:type="dxa"/>
          </w:tcPr>
          <w:p w:rsidR="007E41D3" w:rsidRPr="006B0474" w:rsidRDefault="007E41D3" w:rsidP="00B07BE2">
            <w:pPr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Нераспределенная прибыль (убыток) отчетного периода:</w:t>
            </w:r>
          </w:p>
          <w:p w:rsidR="007E41D3" w:rsidRPr="006B0474" w:rsidRDefault="007E41D3" w:rsidP="00B07BE2">
            <w:pPr>
              <w:tabs>
                <w:tab w:val="left" w:pos="3837"/>
              </w:tabs>
              <w:ind w:firstLine="633"/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Распределить </w:t>
            </w:r>
            <w:proofErr w:type="gramStart"/>
            <w:r w:rsidRPr="006B0474">
              <w:rPr>
                <w:sz w:val="28"/>
                <w:szCs w:val="28"/>
              </w:rPr>
              <w:t xml:space="preserve">на:  </w:t>
            </w:r>
            <w:proofErr w:type="gramEnd"/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>(18 102)</w:t>
            </w:r>
          </w:p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2247"/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Резервный фонд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2247"/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Прибыль на развитие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Дивиденды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7E41D3" w:rsidRPr="006B0474" w:rsidTr="00B07BE2">
        <w:tc>
          <w:tcPr>
            <w:tcW w:w="7684" w:type="dxa"/>
          </w:tcPr>
          <w:p w:rsidR="007E41D3" w:rsidRPr="006B0474" w:rsidRDefault="007E41D3" w:rsidP="00B07BE2">
            <w:pPr>
              <w:tabs>
                <w:tab w:val="left" w:pos="3837"/>
              </w:tabs>
              <w:contextualSpacing/>
              <w:rPr>
                <w:sz w:val="28"/>
                <w:szCs w:val="28"/>
              </w:rPr>
            </w:pPr>
            <w:r w:rsidRPr="006B0474">
              <w:rPr>
                <w:sz w:val="28"/>
                <w:szCs w:val="28"/>
              </w:rPr>
              <w:t xml:space="preserve">                               Погашение убытков прошлых лет</w:t>
            </w:r>
          </w:p>
        </w:tc>
        <w:tc>
          <w:tcPr>
            <w:tcW w:w="2268" w:type="dxa"/>
            <w:vAlign w:val="center"/>
          </w:tcPr>
          <w:p w:rsidR="007E41D3" w:rsidRPr="006B0474" w:rsidRDefault="007E41D3" w:rsidP="00B07BE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B0474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</w:tbl>
    <w:p w:rsidR="007E41D3" w:rsidRPr="006B0474" w:rsidRDefault="007E41D3" w:rsidP="007E41D3">
      <w:pPr>
        <w:ind w:firstLine="709"/>
        <w:contextualSpacing/>
        <w:jc w:val="both"/>
        <w:rPr>
          <w:bCs/>
          <w:sz w:val="28"/>
          <w:szCs w:val="28"/>
        </w:rPr>
      </w:pPr>
      <w:r w:rsidRPr="006B0474">
        <w:rPr>
          <w:sz w:val="28"/>
          <w:szCs w:val="28"/>
        </w:rPr>
        <w:t xml:space="preserve">6.2. </w:t>
      </w:r>
      <w:r w:rsidRPr="006B0474">
        <w:rPr>
          <w:bCs/>
          <w:sz w:val="28"/>
          <w:szCs w:val="28"/>
        </w:rPr>
        <w:t xml:space="preserve">По вопросу: «О   </w:t>
      </w:r>
      <w:r w:rsidRPr="006B0474">
        <w:rPr>
          <w:sz w:val="28"/>
          <w:szCs w:val="28"/>
        </w:rPr>
        <w:t xml:space="preserve"> выплате (объявлении) дивидендов</w:t>
      </w:r>
      <w:r w:rsidRPr="006B0474">
        <w:rPr>
          <w:bCs/>
          <w:sz w:val="28"/>
          <w:szCs w:val="28"/>
        </w:rPr>
        <w:t xml:space="preserve"> </w:t>
      </w:r>
      <w:r w:rsidRPr="006B0474">
        <w:rPr>
          <w:snapToGrid w:val="0"/>
          <w:sz w:val="28"/>
          <w:szCs w:val="28"/>
        </w:rPr>
        <w:t>по результатам 2018 года</w:t>
      </w:r>
      <w:r w:rsidRPr="006B0474">
        <w:rPr>
          <w:sz w:val="28"/>
          <w:szCs w:val="28"/>
        </w:rPr>
        <w:t>» голосовать «ЗА» принятие следующего решения:</w:t>
      </w:r>
      <w:r w:rsidRPr="006B0474">
        <w:rPr>
          <w:bCs/>
          <w:sz w:val="28"/>
          <w:szCs w:val="28"/>
        </w:rPr>
        <w:t xml:space="preserve"> </w:t>
      </w:r>
    </w:p>
    <w:p w:rsidR="007E41D3" w:rsidRPr="006B0474" w:rsidRDefault="007E41D3" w:rsidP="007E41D3">
      <w:pPr>
        <w:ind w:firstLine="709"/>
        <w:jc w:val="both"/>
        <w:rPr>
          <w:bCs/>
          <w:sz w:val="28"/>
          <w:szCs w:val="28"/>
        </w:rPr>
      </w:pPr>
      <w:r w:rsidRPr="006B0474">
        <w:rPr>
          <w:bCs/>
          <w:sz w:val="28"/>
          <w:szCs w:val="28"/>
        </w:rPr>
        <w:t xml:space="preserve">Не выплачивать дивиденды по обыкновенным акциям Общества по итогам 2018 года.  </w:t>
      </w:r>
    </w:p>
    <w:p w:rsidR="007E41D3" w:rsidRDefault="007E41D3" w:rsidP="00832BD9">
      <w:pPr>
        <w:pStyle w:val="af5"/>
        <w:jc w:val="both"/>
        <w:rPr>
          <w:bCs/>
          <w:sz w:val="28"/>
          <w:szCs w:val="28"/>
        </w:rPr>
      </w:pP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7D70BF">
        <w:rPr>
          <w:rFonts w:eastAsiaTheme="minorHAnsi"/>
          <w:bCs/>
          <w:color w:val="000000"/>
          <w:sz w:val="28"/>
          <w:szCs w:val="28"/>
          <w:lang w:eastAsia="en-US"/>
        </w:rPr>
        <w:t>05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7D70BF">
        <w:rPr>
          <w:rFonts w:eastAsiaTheme="minorHAnsi"/>
          <w:bCs/>
          <w:color w:val="000000"/>
          <w:sz w:val="28"/>
          <w:szCs w:val="28"/>
          <w:lang w:eastAsia="en-US"/>
        </w:rPr>
        <w:t>июня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5372C7" w:rsidRDefault="005372C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48F" w:rsidRDefault="006A448F" w:rsidP="001D1CEA">
      <w:r>
        <w:separator/>
      </w:r>
    </w:p>
  </w:endnote>
  <w:endnote w:type="continuationSeparator" w:id="0">
    <w:p w:rsidR="006A448F" w:rsidRDefault="006A448F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48F" w:rsidRDefault="006A448F" w:rsidP="001D1CEA">
      <w:r>
        <w:separator/>
      </w:r>
    </w:p>
  </w:footnote>
  <w:footnote w:type="continuationSeparator" w:id="0">
    <w:p w:rsidR="006A448F" w:rsidRDefault="006A448F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9A333D" w:rsidRDefault="009A33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161">
          <w:rPr>
            <w:noProof/>
          </w:rPr>
          <w:t>2</w:t>
        </w:r>
        <w:r>
          <w:fldChar w:fldCharType="end"/>
        </w:r>
      </w:p>
    </w:sdtContent>
  </w:sdt>
  <w:p w:rsidR="009A333D" w:rsidRDefault="009A33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2D8D"/>
    <w:multiLevelType w:val="multilevel"/>
    <w:tmpl w:val="837EE31E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114DF3"/>
    <w:multiLevelType w:val="hybridMultilevel"/>
    <w:tmpl w:val="52A8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30AB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521B"/>
    <w:multiLevelType w:val="hybridMultilevel"/>
    <w:tmpl w:val="576A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45DF"/>
    <w:multiLevelType w:val="multilevel"/>
    <w:tmpl w:val="A3C0AE94"/>
    <w:lvl w:ilvl="0">
      <w:start w:val="3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1308B3"/>
    <w:multiLevelType w:val="hybridMultilevel"/>
    <w:tmpl w:val="00BEEC2C"/>
    <w:lvl w:ilvl="0" w:tplc="7BDE7326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B4E5E"/>
    <w:multiLevelType w:val="hybridMultilevel"/>
    <w:tmpl w:val="52A8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20D62"/>
    <w:multiLevelType w:val="hybridMultilevel"/>
    <w:tmpl w:val="29BC6898"/>
    <w:lvl w:ilvl="0" w:tplc="2EAAAD7E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C02BE"/>
    <w:multiLevelType w:val="hybridMultilevel"/>
    <w:tmpl w:val="CBB6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A67A4"/>
    <w:multiLevelType w:val="hybridMultilevel"/>
    <w:tmpl w:val="B0AA11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E45E8D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C2A52"/>
    <w:multiLevelType w:val="hybridMultilevel"/>
    <w:tmpl w:val="89EA74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DE6BB2"/>
    <w:multiLevelType w:val="hybridMultilevel"/>
    <w:tmpl w:val="89EA7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1F31A09"/>
    <w:multiLevelType w:val="hybridMultilevel"/>
    <w:tmpl w:val="1D0E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0213C"/>
    <w:multiLevelType w:val="hybridMultilevel"/>
    <w:tmpl w:val="EE70BF76"/>
    <w:lvl w:ilvl="0" w:tplc="5C52204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945400"/>
    <w:multiLevelType w:val="hybridMultilevel"/>
    <w:tmpl w:val="D8E8BF5A"/>
    <w:lvl w:ilvl="0" w:tplc="71E28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4499C"/>
    <w:multiLevelType w:val="hybridMultilevel"/>
    <w:tmpl w:val="37FC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4219B"/>
    <w:multiLevelType w:val="hybridMultilevel"/>
    <w:tmpl w:val="D6E6C282"/>
    <w:lvl w:ilvl="0" w:tplc="8ED62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0011C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11334"/>
    <w:multiLevelType w:val="hybridMultilevel"/>
    <w:tmpl w:val="D122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6D490B"/>
    <w:multiLevelType w:val="hybridMultilevel"/>
    <w:tmpl w:val="D8E8BF5A"/>
    <w:lvl w:ilvl="0" w:tplc="71E28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</w:num>
  <w:num w:numId="5">
    <w:abstractNumId w:val="4"/>
  </w:num>
  <w:num w:numId="6">
    <w:abstractNumId w:val="18"/>
  </w:num>
  <w:num w:numId="7">
    <w:abstractNumId w:val="13"/>
  </w:num>
  <w:num w:numId="8">
    <w:abstractNumId w:val="8"/>
  </w:num>
  <w:num w:numId="9">
    <w:abstractNumId w:val="21"/>
  </w:num>
  <w:num w:numId="10">
    <w:abstractNumId w:val="16"/>
  </w:num>
  <w:num w:numId="11">
    <w:abstractNumId w:val="22"/>
  </w:num>
  <w:num w:numId="12">
    <w:abstractNumId w:val="9"/>
  </w:num>
  <w:num w:numId="13">
    <w:abstractNumId w:val="15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0"/>
  </w:num>
  <w:num w:numId="20">
    <w:abstractNumId w:val="5"/>
  </w:num>
  <w:num w:numId="21">
    <w:abstractNumId w:val="3"/>
  </w:num>
  <w:num w:numId="22">
    <w:abstractNumId w:val="1"/>
  </w:num>
  <w:num w:numId="2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A39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763DD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2FB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2DAC"/>
    <w:rsid w:val="000E38A6"/>
    <w:rsid w:val="000E421D"/>
    <w:rsid w:val="000E4882"/>
    <w:rsid w:val="000E572B"/>
    <w:rsid w:val="000F08FC"/>
    <w:rsid w:val="000F5069"/>
    <w:rsid w:val="000F55C5"/>
    <w:rsid w:val="000F5A2F"/>
    <w:rsid w:val="000F5DEB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3692C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37A4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E682C"/>
    <w:rsid w:val="001F02B9"/>
    <w:rsid w:val="001F0424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01B3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94F37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4A01"/>
    <w:rsid w:val="002E525D"/>
    <w:rsid w:val="002E579D"/>
    <w:rsid w:val="002E76F2"/>
    <w:rsid w:val="002F2080"/>
    <w:rsid w:val="002F28AE"/>
    <w:rsid w:val="002F46A5"/>
    <w:rsid w:val="002F5403"/>
    <w:rsid w:val="002F7138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16D6E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1BCA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48C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63EA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0BF3"/>
    <w:rsid w:val="0043357E"/>
    <w:rsid w:val="00434CF2"/>
    <w:rsid w:val="00441756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2F0F"/>
    <w:rsid w:val="0046352A"/>
    <w:rsid w:val="004637CC"/>
    <w:rsid w:val="00463B75"/>
    <w:rsid w:val="00464051"/>
    <w:rsid w:val="0047046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194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158"/>
    <w:rsid w:val="005314C2"/>
    <w:rsid w:val="0053365D"/>
    <w:rsid w:val="00534161"/>
    <w:rsid w:val="00536C4E"/>
    <w:rsid w:val="005372C7"/>
    <w:rsid w:val="00537E4E"/>
    <w:rsid w:val="00537F7C"/>
    <w:rsid w:val="005412A3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8CC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87E53"/>
    <w:rsid w:val="00590038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397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5443"/>
    <w:rsid w:val="005C6441"/>
    <w:rsid w:val="005C6A02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002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277C8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902"/>
    <w:rsid w:val="00650A73"/>
    <w:rsid w:val="00652324"/>
    <w:rsid w:val="006603EB"/>
    <w:rsid w:val="006615F0"/>
    <w:rsid w:val="0066282C"/>
    <w:rsid w:val="0066298B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448F"/>
    <w:rsid w:val="006A5BAE"/>
    <w:rsid w:val="006B0834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C6989"/>
    <w:rsid w:val="006D02B9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6F7726"/>
    <w:rsid w:val="007007BE"/>
    <w:rsid w:val="00700BBD"/>
    <w:rsid w:val="007021FE"/>
    <w:rsid w:val="0070502F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36B8C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89"/>
    <w:rsid w:val="007751B7"/>
    <w:rsid w:val="007805B5"/>
    <w:rsid w:val="00780667"/>
    <w:rsid w:val="007818FC"/>
    <w:rsid w:val="00781D49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51C8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52B1"/>
    <w:rsid w:val="007C751D"/>
    <w:rsid w:val="007D048E"/>
    <w:rsid w:val="007D1DA6"/>
    <w:rsid w:val="007D280A"/>
    <w:rsid w:val="007D4A51"/>
    <w:rsid w:val="007D572E"/>
    <w:rsid w:val="007D6676"/>
    <w:rsid w:val="007D6E59"/>
    <w:rsid w:val="007D70BF"/>
    <w:rsid w:val="007D7284"/>
    <w:rsid w:val="007E0DC6"/>
    <w:rsid w:val="007E188B"/>
    <w:rsid w:val="007E1DC7"/>
    <w:rsid w:val="007E2C85"/>
    <w:rsid w:val="007E3309"/>
    <w:rsid w:val="007E41D3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328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2BD9"/>
    <w:rsid w:val="00833212"/>
    <w:rsid w:val="008339B2"/>
    <w:rsid w:val="008344AB"/>
    <w:rsid w:val="00835578"/>
    <w:rsid w:val="00836903"/>
    <w:rsid w:val="00836B48"/>
    <w:rsid w:val="00837E4A"/>
    <w:rsid w:val="00840B83"/>
    <w:rsid w:val="00841D27"/>
    <w:rsid w:val="00843442"/>
    <w:rsid w:val="00846EE2"/>
    <w:rsid w:val="0084788D"/>
    <w:rsid w:val="0085069B"/>
    <w:rsid w:val="00850DF7"/>
    <w:rsid w:val="00851096"/>
    <w:rsid w:val="00853448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0DC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49AE"/>
    <w:rsid w:val="008F6181"/>
    <w:rsid w:val="00901F4A"/>
    <w:rsid w:val="009032DA"/>
    <w:rsid w:val="00903EE8"/>
    <w:rsid w:val="00904DEF"/>
    <w:rsid w:val="00905AEB"/>
    <w:rsid w:val="00906994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435C"/>
    <w:rsid w:val="00924AF4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87D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C1F"/>
    <w:rsid w:val="00985DAC"/>
    <w:rsid w:val="0099015C"/>
    <w:rsid w:val="009915B5"/>
    <w:rsid w:val="00991CF7"/>
    <w:rsid w:val="0099594A"/>
    <w:rsid w:val="00996E6A"/>
    <w:rsid w:val="009A0480"/>
    <w:rsid w:val="009A2238"/>
    <w:rsid w:val="009A333D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6DE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7783E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1CB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48F8"/>
    <w:rsid w:val="00B46797"/>
    <w:rsid w:val="00B469B5"/>
    <w:rsid w:val="00B473D7"/>
    <w:rsid w:val="00B525EB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1F8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3A07"/>
    <w:rsid w:val="00BF42BA"/>
    <w:rsid w:val="00BF4838"/>
    <w:rsid w:val="00BF4DCB"/>
    <w:rsid w:val="00BF65A2"/>
    <w:rsid w:val="00BF6A03"/>
    <w:rsid w:val="00BF71A0"/>
    <w:rsid w:val="00C01E8D"/>
    <w:rsid w:val="00C0225F"/>
    <w:rsid w:val="00C0562B"/>
    <w:rsid w:val="00C06DDC"/>
    <w:rsid w:val="00C11089"/>
    <w:rsid w:val="00C1147A"/>
    <w:rsid w:val="00C11937"/>
    <w:rsid w:val="00C13A20"/>
    <w:rsid w:val="00C14071"/>
    <w:rsid w:val="00C151D6"/>
    <w:rsid w:val="00C22BFE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35CB"/>
    <w:rsid w:val="00C5417E"/>
    <w:rsid w:val="00C561B8"/>
    <w:rsid w:val="00C61F9D"/>
    <w:rsid w:val="00C621B8"/>
    <w:rsid w:val="00C6330C"/>
    <w:rsid w:val="00C63B27"/>
    <w:rsid w:val="00C642C5"/>
    <w:rsid w:val="00C66365"/>
    <w:rsid w:val="00C673C3"/>
    <w:rsid w:val="00C67617"/>
    <w:rsid w:val="00C67759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474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22F"/>
    <w:rsid w:val="00CE4F35"/>
    <w:rsid w:val="00CE5AEE"/>
    <w:rsid w:val="00CE6151"/>
    <w:rsid w:val="00CE7D0C"/>
    <w:rsid w:val="00CF01A8"/>
    <w:rsid w:val="00CF36E2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6DFE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51CE7"/>
    <w:rsid w:val="00D570B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48D5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061B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45F"/>
    <w:rsid w:val="00DC4A8F"/>
    <w:rsid w:val="00DC78BB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427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4CE5"/>
    <w:rsid w:val="00E35600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6EA7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47B"/>
    <w:rsid w:val="00EE2D21"/>
    <w:rsid w:val="00EE5B74"/>
    <w:rsid w:val="00EE5F21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2B77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3CAA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18F8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,Subtle Emphasis,head 5,Светлая сетка - Акцент 31,Маркер,Буллет,Bullet_IRAO,Слабое выделение1,Title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Subtle Emphasis Знак,head 5 Знак,Светлая сетка - Акцент 31 Знак,Маркер Знак,Буллет Знак,Bullet_IRAO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  <w:style w:type="paragraph" w:customStyle="1" w:styleId="af7">
    <w:name w:val="Решение само"/>
    <w:basedOn w:val="a"/>
    <w:rsid w:val="004A0194"/>
    <w:pPr>
      <w:widowControl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5200-6A76-47B6-BD93-DEACD697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4014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9</cp:revision>
  <cp:lastPrinted>2018-12-21T06:56:00Z</cp:lastPrinted>
  <dcterms:created xsi:type="dcterms:W3CDTF">2019-05-28T16:16:00Z</dcterms:created>
  <dcterms:modified xsi:type="dcterms:W3CDTF">2019-06-06T07:13:00Z</dcterms:modified>
</cp:coreProperties>
</file>