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B45A66" w:rsidP="006909F9">
      <w:pPr>
        <w:jc w:val="center"/>
        <w:rPr>
          <w:rFonts w:eastAsiaTheme="minorHAnsi"/>
          <w:b/>
          <w:bCs/>
          <w:sz w:val="28"/>
          <w:szCs w:val="28"/>
          <w:lang w:eastAsia="en-US"/>
        </w:rPr>
      </w:pPr>
      <w:r>
        <w:rPr>
          <w:rFonts w:eastAsiaTheme="minorHAnsi"/>
          <w:b/>
          <w:bCs/>
          <w:sz w:val="28"/>
          <w:szCs w:val="28"/>
          <w:lang w:eastAsia="en-US"/>
        </w:rPr>
        <w:t>12</w:t>
      </w:r>
      <w:r w:rsidR="006909F9" w:rsidRPr="0088629E">
        <w:rPr>
          <w:rFonts w:eastAsiaTheme="minorHAnsi"/>
          <w:b/>
          <w:bCs/>
          <w:sz w:val="28"/>
          <w:szCs w:val="28"/>
          <w:lang w:eastAsia="en-US"/>
        </w:rPr>
        <w:t>.</w:t>
      </w:r>
      <w:r w:rsidR="00185B47">
        <w:rPr>
          <w:rFonts w:eastAsiaTheme="minorHAnsi"/>
          <w:b/>
          <w:bCs/>
          <w:sz w:val="28"/>
          <w:szCs w:val="28"/>
          <w:lang w:eastAsia="en-US"/>
        </w:rPr>
        <w:t>0</w:t>
      </w:r>
      <w:r w:rsidR="001A6002">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B45A66" w:rsidRDefault="00B45A66" w:rsidP="00B45A66">
      <w:pPr>
        <w:pStyle w:val="a4"/>
        <w:widowControl w:val="0"/>
        <w:numPr>
          <w:ilvl w:val="0"/>
          <w:numId w:val="30"/>
        </w:numPr>
        <w:tabs>
          <w:tab w:val="left" w:pos="709"/>
        </w:tabs>
        <w:spacing w:after="0" w:line="240" w:lineRule="auto"/>
        <w:ind w:left="714" w:hanging="357"/>
        <w:jc w:val="both"/>
        <w:rPr>
          <w:bCs/>
          <w:sz w:val="28"/>
          <w:szCs w:val="28"/>
        </w:rPr>
      </w:pPr>
      <w:r>
        <w:rPr>
          <w:bCs/>
          <w:sz w:val="28"/>
          <w:szCs w:val="28"/>
        </w:rPr>
        <w:t>О развитии программного комплекса по формированию балансов электрической энергии и объёмов услуг по передаче электрической энергии в АО «Янтарьэнерго».</w:t>
      </w:r>
    </w:p>
    <w:p w:rsidR="00185B47" w:rsidRDefault="00185B47" w:rsidP="008E5ECB">
      <w:pPr>
        <w:jc w:val="center"/>
        <w:rPr>
          <w:rFonts w:eastAsiaTheme="minorHAnsi"/>
          <w:b/>
          <w:sz w:val="28"/>
          <w:szCs w:val="28"/>
          <w:lang w:eastAsia="en-US"/>
        </w:rPr>
      </w:pPr>
    </w:p>
    <w:p w:rsidR="00B45A66" w:rsidRDefault="008E5ECB" w:rsidP="006601CF">
      <w:pPr>
        <w:pStyle w:val="a4"/>
        <w:widowControl w:val="0"/>
        <w:tabs>
          <w:tab w:val="left" w:pos="709"/>
        </w:tabs>
        <w:spacing w:after="0" w:line="240" w:lineRule="auto"/>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B45A66">
        <w:rPr>
          <w:bCs/>
          <w:sz w:val="28"/>
          <w:szCs w:val="28"/>
        </w:rPr>
        <w:t>О развитии программного комплекса по формированию балансов электрической энергии и объёмов услуг по передаче электрической энергии в АО «Янтарьэнерго».</w:t>
      </w:r>
    </w:p>
    <w:p w:rsidR="005E28E5" w:rsidRDefault="008E5ECB" w:rsidP="005E28E5">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45A66" w:rsidRDefault="00B45A66" w:rsidP="00B45A66">
      <w:pPr>
        <w:tabs>
          <w:tab w:val="left" w:pos="1134"/>
        </w:tabs>
        <w:ind w:firstLine="709"/>
        <w:jc w:val="both"/>
        <w:rPr>
          <w:rFonts w:eastAsia="SimSun"/>
          <w:bCs/>
          <w:sz w:val="28"/>
          <w:szCs w:val="28"/>
        </w:rPr>
      </w:pPr>
      <w:r>
        <w:rPr>
          <w:rFonts w:eastAsia="SimSun"/>
          <w:bCs/>
          <w:sz w:val="28"/>
          <w:szCs w:val="28"/>
        </w:rPr>
        <w:t>1. Принять к сведению результаты испытаний программных комплексов Общества по формированию балансов электрической энергии и объемов услуг по передаче электрической энергии (далее – Программный комплекс) в соответствии с приложением к настоящему решению.</w:t>
      </w:r>
    </w:p>
    <w:p w:rsidR="00B45A66" w:rsidRDefault="00B45A66" w:rsidP="00B45A66">
      <w:pPr>
        <w:tabs>
          <w:tab w:val="left" w:pos="1134"/>
        </w:tabs>
        <w:ind w:firstLine="709"/>
        <w:jc w:val="both"/>
        <w:rPr>
          <w:rFonts w:eastAsia="SimSun"/>
          <w:bCs/>
          <w:sz w:val="28"/>
          <w:szCs w:val="28"/>
        </w:rPr>
      </w:pPr>
      <w:r>
        <w:rPr>
          <w:rFonts w:eastAsia="SimSun"/>
          <w:bCs/>
          <w:sz w:val="28"/>
          <w:szCs w:val="28"/>
        </w:rPr>
        <w:t>2. Считать целесообразным внедрение в Обществе Программного комплекса, соответствующего функциональным требованиям к системам автоматизации процессов формирования балансов и объемов услуг по передаче электрической энергии ПАО «Россети» (далее – Функциональные требования).</w:t>
      </w:r>
    </w:p>
    <w:p w:rsidR="00B45A66" w:rsidRDefault="00B45A66" w:rsidP="00B45A66">
      <w:pPr>
        <w:tabs>
          <w:tab w:val="left" w:pos="1134"/>
        </w:tabs>
        <w:ind w:firstLine="709"/>
        <w:jc w:val="both"/>
        <w:rPr>
          <w:rFonts w:eastAsia="SimSun"/>
          <w:bCs/>
          <w:sz w:val="28"/>
          <w:szCs w:val="28"/>
        </w:rPr>
      </w:pPr>
      <w:r>
        <w:rPr>
          <w:rFonts w:eastAsia="SimSun"/>
          <w:bCs/>
          <w:sz w:val="28"/>
          <w:szCs w:val="28"/>
        </w:rPr>
        <w:t>3. Утвердить дорожную карту по внедрению в Обществе Программного комплекса в соответствии с приложением к настоящему решению.</w:t>
      </w:r>
    </w:p>
    <w:p w:rsidR="00B45A66" w:rsidRDefault="00B45A66" w:rsidP="00B45A66">
      <w:pPr>
        <w:tabs>
          <w:tab w:val="left" w:pos="1134"/>
        </w:tabs>
        <w:ind w:firstLine="709"/>
        <w:jc w:val="both"/>
        <w:rPr>
          <w:rFonts w:eastAsia="SimSun"/>
          <w:bCs/>
          <w:sz w:val="28"/>
          <w:szCs w:val="28"/>
        </w:rPr>
      </w:pPr>
      <w:r>
        <w:rPr>
          <w:rFonts w:eastAsia="SimSun"/>
          <w:bCs/>
          <w:sz w:val="28"/>
          <w:szCs w:val="28"/>
        </w:rPr>
        <w:lastRenderedPageBreak/>
        <w:t>4. Единоличному исполнительному органу Общества предоставить отчет о внедрении Программного комплекса, соответствующего Функциональным требованиям ПАО «Россети».</w:t>
      </w:r>
    </w:p>
    <w:p w:rsidR="00B45A66" w:rsidRDefault="00B45A66" w:rsidP="00B45A66">
      <w:pPr>
        <w:pStyle w:val="a4"/>
        <w:widowControl w:val="0"/>
        <w:tabs>
          <w:tab w:val="left" w:pos="709"/>
        </w:tabs>
        <w:spacing w:after="0"/>
        <w:ind w:firstLine="709"/>
        <w:contextualSpacing/>
        <w:jc w:val="both"/>
        <w:rPr>
          <w:bCs/>
          <w:sz w:val="28"/>
          <w:szCs w:val="28"/>
        </w:rPr>
      </w:pPr>
      <w:r>
        <w:rPr>
          <w:rFonts w:eastAsia="Calibri"/>
          <w:sz w:val="28"/>
          <w:szCs w:val="28"/>
        </w:rPr>
        <w:t>Срок: 2 августа 2021 г.</w:t>
      </w:r>
      <w:bookmarkStart w:id="0" w:name="_GoBack"/>
      <w:bookmarkEnd w:id="0"/>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EA5B29" w:rsidRDefault="00893CA7" w:rsidP="00B45A66">
      <w:pPr>
        <w:jc w:val="both"/>
        <w:rPr>
          <w:rFonts w:hint="eastAsia"/>
          <w:b/>
          <w:sz w:val="28"/>
          <w:szCs w:val="28"/>
        </w:rPr>
      </w:pPr>
      <w:r w:rsidRPr="00893CA7">
        <w:rPr>
          <w:rFonts w:ascii="Times New Roman" w:eastAsia="Calibri" w:hAnsi="Times New Roman" w:cs="Times New Roman"/>
          <w:b/>
          <w:bCs/>
          <w:color w:val="000000"/>
          <w:kern w:val="0"/>
          <w:sz w:val="28"/>
          <w:szCs w:val="28"/>
          <w:lang w:eastAsia="ru-RU" w:bidi="ar-SA"/>
        </w:rPr>
        <w:t>Принят</w:t>
      </w:r>
      <w:r w:rsidR="00B45A66">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B45A66">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B45A66" w:rsidRDefault="00B45A66" w:rsidP="00B45A66">
      <w:pPr>
        <w:tabs>
          <w:tab w:val="left" w:pos="1134"/>
        </w:tabs>
        <w:ind w:firstLine="709"/>
        <w:jc w:val="both"/>
        <w:rPr>
          <w:rFonts w:eastAsia="SimSun"/>
          <w:bCs/>
          <w:sz w:val="28"/>
          <w:szCs w:val="28"/>
        </w:rPr>
      </w:pPr>
      <w:r>
        <w:rPr>
          <w:rFonts w:eastAsia="SimSun"/>
          <w:bCs/>
          <w:sz w:val="28"/>
          <w:szCs w:val="28"/>
        </w:rPr>
        <w:t>1. Принять к сведению результаты испытаний программных комплексов Общества по формированию балансов электрической энергии и объемов услуг по передаче электрической энергии (далее – Программный комплекс) в соответствии с приложением к настоящему решению.</w:t>
      </w:r>
    </w:p>
    <w:p w:rsidR="00B45A66" w:rsidRDefault="00B45A66" w:rsidP="00B45A66">
      <w:pPr>
        <w:tabs>
          <w:tab w:val="left" w:pos="1134"/>
        </w:tabs>
        <w:ind w:firstLine="709"/>
        <w:jc w:val="both"/>
        <w:rPr>
          <w:rFonts w:eastAsia="SimSun"/>
          <w:bCs/>
          <w:sz w:val="28"/>
          <w:szCs w:val="28"/>
        </w:rPr>
      </w:pPr>
      <w:r>
        <w:rPr>
          <w:rFonts w:eastAsia="SimSun"/>
          <w:bCs/>
          <w:sz w:val="28"/>
          <w:szCs w:val="28"/>
        </w:rPr>
        <w:t>2. Считать целесообразным внедрение в Обществе Программного комплекса, соответствующего функциональным требованиям к системам автоматизации процессов формирования балансов и объемов услуг по передаче электрической энергии ПАО «Россети» (далее – Функциональные требования).</w:t>
      </w:r>
    </w:p>
    <w:p w:rsidR="00B45A66" w:rsidRDefault="00B45A66" w:rsidP="00B45A66">
      <w:pPr>
        <w:tabs>
          <w:tab w:val="left" w:pos="1134"/>
        </w:tabs>
        <w:ind w:firstLine="709"/>
        <w:jc w:val="both"/>
        <w:rPr>
          <w:rFonts w:eastAsia="SimSun"/>
          <w:bCs/>
          <w:sz w:val="28"/>
          <w:szCs w:val="28"/>
        </w:rPr>
      </w:pPr>
      <w:r>
        <w:rPr>
          <w:rFonts w:eastAsia="SimSun"/>
          <w:bCs/>
          <w:sz w:val="28"/>
          <w:szCs w:val="28"/>
        </w:rPr>
        <w:t>3. Утвердить дорожную карту по внедрению в Обществе Программного комплекса в соответствии с приложением к настоящему решению.</w:t>
      </w:r>
    </w:p>
    <w:p w:rsidR="00B45A66" w:rsidRDefault="00B45A66" w:rsidP="00B45A66">
      <w:pPr>
        <w:tabs>
          <w:tab w:val="left" w:pos="1134"/>
        </w:tabs>
        <w:ind w:firstLine="709"/>
        <w:jc w:val="both"/>
        <w:rPr>
          <w:rFonts w:eastAsia="SimSun"/>
          <w:bCs/>
          <w:sz w:val="28"/>
          <w:szCs w:val="28"/>
        </w:rPr>
      </w:pPr>
      <w:r>
        <w:rPr>
          <w:rFonts w:eastAsia="SimSun"/>
          <w:bCs/>
          <w:sz w:val="28"/>
          <w:szCs w:val="28"/>
        </w:rPr>
        <w:t>4. Единоличному исполнительному органу Общества предоставить отчет о внедрении Программного комплекса, соответствующего Функциональным требованиям ПАО «Россети».</w:t>
      </w:r>
    </w:p>
    <w:p w:rsidR="00B45A66" w:rsidRDefault="00B45A66" w:rsidP="00B45A66">
      <w:pPr>
        <w:pStyle w:val="a4"/>
        <w:widowControl w:val="0"/>
        <w:tabs>
          <w:tab w:val="left" w:pos="709"/>
        </w:tabs>
        <w:spacing w:after="0"/>
        <w:ind w:firstLine="709"/>
        <w:contextualSpacing/>
        <w:jc w:val="both"/>
        <w:rPr>
          <w:bCs/>
          <w:sz w:val="28"/>
          <w:szCs w:val="28"/>
        </w:rPr>
      </w:pPr>
      <w:r>
        <w:rPr>
          <w:rFonts w:eastAsia="Calibri"/>
          <w:sz w:val="28"/>
          <w:szCs w:val="28"/>
        </w:rPr>
        <w:t>Срок: 2 августа 2021 г.</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B45A66">
        <w:rPr>
          <w:rFonts w:eastAsiaTheme="minorHAnsi"/>
          <w:bCs/>
          <w:color w:val="000000"/>
          <w:sz w:val="28"/>
          <w:szCs w:val="28"/>
          <w:lang w:eastAsia="en-US"/>
        </w:rPr>
        <w:t>12</w:t>
      </w:r>
      <w:r w:rsidR="00F578FE">
        <w:rPr>
          <w:rFonts w:eastAsiaTheme="minorHAnsi"/>
          <w:bCs/>
          <w:color w:val="000000"/>
          <w:sz w:val="28"/>
          <w:szCs w:val="28"/>
          <w:lang w:eastAsia="en-US"/>
        </w:rPr>
        <w:t xml:space="preserve"> </w:t>
      </w:r>
      <w:r w:rsidR="001A6002">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9F" w:rsidRDefault="00A74F9F" w:rsidP="00DC7A02">
      <w:pPr>
        <w:rPr>
          <w:rFonts w:hint="eastAsia"/>
        </w:rPr>
      </w:pPr>
      <w:r>
        <w:separator/>
      </w:r>
    </w:p>
  </w:endnote>
  <w:endnote w:type="continuationSeparator" w:id="0">
    <w:p w:rsidR="00A74F9F" w:rsidRDefault="00A74F9F"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9F" w:rsidRDefault="00A74F9F" w:rsidP="00DC7A02">
      <w:pPr>
        <w:rPr>
          <w:rFonts w:hint="eastAsia"/>
        </w:rPr>
      </w:pPr>
      <w:r>
        <w:separator/>
      </w:r>
    </w:p>
  </w:footnote>
  <w:footnote w:type="continuationSeparator" w:id="0">
    <w:p w:rsidR="00A74F9F" w:rsidRDefault="00A74F9F"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2"/>
  </w:num>
  <w:num w:numId="14">
    <w:abstractNumId w:val="25"/>
  </w:num>
  <w:num w:numId="15">
    <w:abstractNumId w:val="0"/>
  </w:num>
  <w:num w:numId="16">
    <w:abstractNumId w:val="22"/>
  </w:num>
  <w:num w:numId="17">
    <w:abstractNumId w:val="8"/>
  </w:num>
  <w:num w:numId="18">
    <w:abstractNumId w:val="23"/>
  </w:num>
  <w:num w:numId="19">
    <w:abstractNumId w:val="28"/>
  </w:num>
  <w:num w:numId="20">
    <w:abstractNumId w:val="21"/>
  </w:num>
  <w:num w:numId="21">
    <w:abstractNumId w:val="19"/>
  </w:num>
  <w:num w:numId="22">
    <w:abstractNumId w:val="15"/>
  </w:num>
  <w:num w:numId="23">
    <w:abstractNumId w:val="1"/>
  </w:num>
  <w:num w:numId="24">
    <w:abstractNumId w:val="10"/>
  </w:num>
  <w:num w:numId="25">
    <w:abstractNumId w:val="11"/>
  </w:num>
  <w:num w:numId="26">
    <w:abstractNumId w:val="27"/>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35584"/>
    <w:rsid w:val="00952F22"/>
    <w:rsid w:val="00971C2B"/>
    <w:rsid w:val="00972D91"/>
    <w:rsid w:val="009A5552"/>
    <w:rsid w:val="009A7B35"/>
    <w:rsid w:val="009B2C2B"/>
    <w:rsid w:val="009B3883"/>
    <w:rsid w:val="009C1B3E"/>
    <w:rsid w:val="009E1CC2"/>
    <w:rsid w:val="009E29DB"/>
    <w:rsid w:val="009F0584"/>
    <w:rsid w:val="009F4565"/>
    <w:rsid w:val="00A24AE8"/>
    <w:rsid w:val="00A37ADC"/>
    <w:rsid w:val="00A41189"/>
    <w:rsid w:val="00A46A4C"/>
    <w:rsid w:val="00A46EEC"/>
    <w:rsid w:val="00A47520"/>
    <w:rsid w:val="00A5207B"/>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A66"/>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90FD-DBAC-4EDF-9CBE-5D810C99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97</cp:revision>
  <cp:lastPrinted>2020-08-27T15:40:00Z</cp:lastPrinted>
  <dcterms:created xsi:type="dcterms:W3CDTF">2020-07-30T09:27:00Z</dcterms:created>
  <dcterms:modified xsi:type="dcterms:W3CDTF">2021-02-16T13:53:00Z</dcterms:modified>
  <dc:language>ru-RU</dc:language>
</cp:coreProperties>
</file>