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CF5A9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4E11D0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2D7AA4">
        <w:rPr>
          <w:rFonts w:eastAsiaTheme="minorHAnsi"/>
          <w:b/>
          <w:bCs/>
          <w:sz w:val="28"/>
          <w:szCs w:val="28"/>
          <w:lang w:eastAsia="en-US"/>
        </w:rPr>
        <w:t>3</w:t>
      </w:r>
      <w:r w:rsidR="004E11D0"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16306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6306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16306E">
        <w:rPr>
          <w:rFonts w:eastAsiaTheme="minorHAnsi"/>
          <w:sz w:val="28"/>
          <w:szCs w:val="28"/>
          <w:lang w:eastAsia="en-US"/>
        </w:rPr>
        <w:t>Комаров В. М.</w:t>
      </w:r>
      <w:r w:rsidRPr="0016306E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16306E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E011D0" w:rsidRPr="0016306E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16306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6306E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E011D0" w:rsidRPr="0016306E">
        <w:rPr>
          <w:rFonts w:eastAsiaTheme="minorHAnsi"/>
          <w:sz w:val="28"/>
          <w:szCs w:val="28"/>
          <w:lang w:eastAsia="en-US"/>
        </w:rPr>
        <w:t>7</w:t>
      </w:r>
      <w:r w:rsidRPr="0016306E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16306E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C6865" w:rsidRDefault="00FC6865" w:rsidP="00FC6865">
      <w:pPr>
        <w:pStyle w:val="a7"/>
        <w:numPr>
          <w:ilvl w:val="0"/>
          <w:numId w:val="49"/>
        </w:numPr>
        <w:jc w:val="both"/>
        <w:rPr>
          <w:sz w:val="28"/>
          <w:szCs w:val="28"/>
        </w:rPr>
      </w:pPr>
      <w:r w:rsidRPr="00FC6865">
        <w:rPr>
          <w:sz w:val="28"/>
          <w:szCs w:val="28"/>
        </w:rPr>
        <w:t>Об утверждении Отчета об исполнении Бизнес - плана АО «Янтарьэнерго» (в том числе инвестиционной программы и информации о ключевых операционных рисках) за 1 квартал 2017 года.</w:t>
      </w:r>
    </w:p>
    <w:p w:rsidR="00361F13" w:rsidRPr="00FC6865" w:rsidRDefault="00361F13" w:rsidP="00FC6865">
      <w:pPr>
        <w:pStyle w:val="a7"/>
        <w:numPr>
          <w:ilvl w:val="0"/>
          <w:numId w:val="49"/>
        </w:numPr>
        <w:jc w:val="both"/>
        <w:rPr>
          <w:sz w:val="28"/>
          <w:szCs w:val="28"/>
        </w:rPr>
      </w:pPr>
      <w:r w:rsidRPr="000B1ED9">
        <w:rPr>
          <w:rFonts w:eastAsia="Calibri"/>
          <w:bCs/>
          <w:sz w:val="28"/>
          <w:szCs w:val="28"/>
          <w:lang w:eastAsia="en-US"/>
        </w:rPr>
        <w:t>Об   определении позиции представителей Общества по вопросам повесток дня заседаний Советов директоров ДЗО АО «Янтарьэнерго».</w:t>
      </w:r>
    </w:p>
    <w:p w:rsidR="00C53108" w:rsidRDefault="00C5310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C6865" w:rsidRPr="001A7642" w:rsidRDefault="0088629E" w:rsidP="00FC686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FC6865" w:rsidRPr="00B00E12">
        <w:rPr>
          <w:sz w:val="28"/>
          <w:szCs w:val="28"/>
        </w:rPr>
        <w:t xml:space="preserve">Об утверждении Отчета об исполнении Бизнес - плана </w:t>
      </w:r>
      <w:r w:rsidR="00C70E34">
        <w:rPr>
          <w:sz w:val="28"/>
          <w:szCs w:val="28"/>
        </w:rPr>
        <w:t xml:space="preserve">                                         </w:t>
      </w:r>
      <w:r w:rsidR="00FC6865" w:rsidRPr="00B00E12">
        <w:rPr>
          <w:sz w:val="28"/>
          <w:szCs w:val="28"/>
        </w:rPr>
        <w:t>АО «Янтарьэнерго» (в том числе инвестиционной программы и информации о ключевых операционных рисках) за 1 квартал 2017 года.</w:t>
      </w:r>
    </w:p>
    <w:p w:rsidR="00E23123" w:rsidRDefault="00E23123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F403B" w:rsidRDefault="0088629E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412F8D" w:rsidRPr="009333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1F13" w:rsidRPr="00821FC6" w:rsidRDefault="00361F13" w:rsidP="00361F13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1.</w:t>
      </w:r>
      <w:r w:rsidRPr="00821FC6">
        <w:rPr>
          <w:color w:val="000000"/>
          <w:spacing w:val="-2"/>
          <w:sz w:val="28"/>
          <w:szCs w:val="28"/>
        </w:rPr>
        <w:tab/>
        <w:t xml:space="preserve">Утвердить Отчет об исполнении бизнес-плана (в том числе инвестиционной программы и информации о ключевых операционных рисках) АО «Янтарьэнерго» за 1 квартал 2017 года согласно </w:t>
      </w:r>
      <w:proofErr w:type="gramStart"/>
      <w:r w:rsidRPr="00821FC6">
        <w:rPr>
          <w:color w:val="000000"/>
          <w:spacing w:val="-2"/>
          <w:sz w:val="28"/>
          <w:szCs w:val="28"/>
        </w:rPr>
        <w:t>Приложению</w:t>
      </w:r>
      <w:proofErr w:type="gramEnd"/>
      <w:r w:rsidRPr="00821FC6">
        <w:rPr>
          <w:color w:val="000000"/>
          <w:spacing w:val="-2"/>
          <w:sz w:val="28"/>
          <w:szCs w:val="28"/>
        </w:rPr>
        <w:t xml:space="preserve"> к настоящему решению Совета директоров Общества.</w:t>
      </w:r>
    </w:p>
    <w:p w:rsidR="00361F13" w:rsidRPr="00821FC6" w:rsidRDefault="00361F13" w:rsidP="00361F13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2.</w:t>
      </w:r>
      <w:r w:rsidRPr="00821FC6">
        <w:rPr>
          <w:color w:val="000000"/>
          <w:spacing w:val="-2"/>
          <w:sz w:val="28"/>
          <w:szCs w:val="28"/>
        </w:rPr>
        <w:tab/>
        <w:t>Отметить:</w:t>
      </w:r>
    </w:p>
    <w:p w:rsidR="00361F13" w:rsidRPr="00821FC6" w:rsidRDefault="00361F13" w:rsidP="00361F13">
      <w:pPr>
        <w:tabs>
          <w:tab w:val="left" w:pos="113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2.1.</w:t>
      </w:r>
      <w:r w:rsidRPr="00821FC6">
        <w:rPr>
          <w:color w:val="000000"/>
          <w:spacing w:val="-2"/>
          <w:sz w:val="28"/>
          <w:szCs w:val="28"/>
        </w:rPr>
        <w:tab/>
        <w:t>неисполнение запланированного уровня оплаты за оказанные услуги по передаче электрической энергии на 16% (план: 100,9%, факт: 84,9%).</w:t>
      </w:r>
    </w:p>
    <w:p w:rsidR="00361F13" w:rsidRPr="00821FC6" w:rsidRDefault="00361F13" w:rsidP="00361F13">
      <w:pPr>
        <w:tabs>
          <w:tab w:val="left" w:pos="113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2.2.</w:t>
      </w:r>
      <w:r w:rsidRPr="00821FC6">
        <w:rPr>
          <w:color w:val="000000"/>
          <w:spacing w:val="-2"/>
          <w:sz w:val="28"/>
          <w:szCs w:val="28"/>
        </w:rPr>
        <w:tab/>
        <w:t xml:space="preserve">внеплановую реализацию 31 титула по итогам 1 квартала 2017 года, </w:t>
      </w:r>
      <w:r w:rsidRPr="00821FC6">
        <w:rPr>
          <w:color w:val="000000"/>
          <w:spacing w:val="-2"/>
          <w:sz w:val="28"/>
          <w:szCs w:val="28"/>
        </w:rPr>
        <w:br/>
        <w:t xml:space="preserve">за исключением технологического присоединения, в объеме финансирования </w:t>
      </w:r>
      <w:r w:rsidRPr="00821FC6">
        <w:rPr>
          <w:color w:val="000000"/>
          <w:spacing w:val="-2"/>
          <w:sz w:val="28"/>
          <w:szCs w:val="28"/>
        </w:rPr>
        <w:br/>
        <w:t>24 млн. рублей с НДС.</w:t>
      </w:r>
    </w:p>
    <w:p w:rsidR="00361F13" w:rsidRPr="00821FC6" w:rsidRDefault="00361F13" w:rsidP="00361F13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lastRenderedPageBreak/>
        <w:t>3.</w:t>
      </w:r>
      <w:r w:rsidRPr="00821FC6">
        <w:rPr>
          <w:color w:val="000000"/>
          <w:spacing w:val="-2"/>
          <w:sz w:val="28"/>
          <w:szCs w:val="28"/>
        </w:rPr>
        <w:tab/>
        <w:t xml:space="preserve">Поручить Генеральному директору Общества предоставить на заседание Совета директоров Общества пояснения по отклонениям, указанным в пункте 2.2 настоящего решения Совета директоров Общества. </w:t>
      </w:r>
    </w:p>
    <w:p w:rsidR="00361F13" w:rsidRDefault="00361F13" w:rsidP="00361F13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Срок: в течение 30 дней после выхода настоящего решения Совета директоров Общества.</w:t>
      </w:r>
    </w:p>
    <w:p w:rsidR="00E23123" w:rsidRPr="00821FC6" w:rsidRDefault="00E23123" w:rsidP="00361F13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A82295" w:rsidRDefault="007E3309" w:rsidP="007E3309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EB0D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EB0D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011D0" w:rsidRPr="0088629E" w:rsidTr="00E011D0">
        <w:trPr>
          <w:trHeight w:val="310"/>
        </w:trPr>
        <w:tc>
          <w:tcPr>
            <w:tcW w:w="4585" w:type="dxa"/>
          </w:tcPr>
          <w:p w:rsidR="00E011D0" w:rsidRPr="00A82295" w:rsidRDefault="00E011D0" w:rsidP="007E58E3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011D0" w:rsidRPr="00A82295" w:rsidRDefault="0016306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011D0" w:rsidRPr="00A82295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011D0" w:rsidRPr="00A82295" w:rsidRDefault="0016306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82463" w:rsidRDefault="00FF13F0" w:rsidP="00782463">
      <w:pPr>
        <w:shd w:val="clear" w:color="auto" w:fill="FFFFFF"/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361F13" w:rsidRPr="000B1ED9">
        <w:rPr>
          <w:rFonts w:eastAsia="Calibri"/>
          <w:bCs/>
          <w:sz w:val="28"/>
          <w:szCs w:val="28"/>
          <w:lang w:eastAsia="en-US"/>
        </w:rPr>
        <w:t>Об   определении позиции представителей Общества по вопросам повесток дня заседаний Советов директоров ДЗО АО «Янтарьэнерго».</w:t>
      </w:r>
    </w:p>
    <w:p w:rsidR="00E23123" w:rsidRPr="001A6767" w:rsidRDefault="00E23123" w:rsidP="00782463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</w:p>
    <w:p w:rsidR="00F544D5" w:rsidRDefault="00FF13F0" w:rsidP="00F544D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</w:p>
    <w:p w:rsidR="00361F13" w:rsidRPr="00821FC6" w:rsidRDefault="00361F13" w:rsidP="00361F13">
      <w:pPr>
        <w:widowControl w:val="0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1. Поручить представителям АО «Янтарьэнерго» в Совете директоров </w:t>
      </w:r>
      <w:r w:rsidRPr="00821FC6">
        <w:rPr>
          <w:sz w:val="28"/>
          <w:szCs w:val="28"/>
        </w:rPr>
        <w:br/>
        <w:t>ОАО «Калининградская генерирующая компания» голосовать «За» принятие следующего решения: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1. Утвердить отчет об исполнении Бизнес-плана (в том числе инвестиционной программы) ОАО «Калининградская генерирующая компания» за 1 квартал 2017 года согласно </w:t>
      </w:r>
      <w:proofErr w:type="gramStart"/>
      <w:r w:rsidRPr="00821FC6">
        <w:rPr>
          <w:sz w:val="28"/>
          <w:szCs w:val="28"/>
        </w:rPr>
        <w:t>Приложению</w:t>
      </w:r>
      <w:proofErr w:type="gramEnd"/>
      <w:r w:rsidRPr="00821FC6">
        <w:rPr>
          <w:sz w:val="28"/>
          <w:szCs w:val="28"/>
        </w:rPr>
        <w:t xml:space="preserve"> к настоящему решению Совета директоров Общества.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2. Отметить по итогам 1 квартала 2017 года неисполнение Обществом следующих параметров бизнес-плана: снижение финансового результата на </w:t>
      </w:r>
      <w:r>
        <w:rPr>
          <w:sz w:val="28"/>
          <w:szCs w:val="28"/>
        </w:rPr>
        <w:br/>
      </w:r>
      <w:r w:rsidRPr="00821FC6">
        <w:rPr>
          <w:sz w:val="28"/>
          <w:szCs w:val="28"/>
        </w:rPr>
        <w:t>38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(план: 132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факт: 94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рублей), рост кредиторской задолженности на 230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 на 01.04.2017: 679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 на 01.04.2017: 909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рублей).</w:t>
      </w:r>
    </w:p>
    <w:p w:rsidR="00361F13" w:rsidRPr="00821FC6" w:rsidRDefault="00361F13" w:rsidP="00361F13">
      <w:pPr>
        <w:widowControl w:val="0"/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3. Поручить Генеральному директору Общества обеспечить безусловное исполнение показателей бизнес-плана по итогам 2017 года, в том числе кредиторской задолженности и финансового результата.</w:t>
      </w:r>
    </w:p>
    <w:p w:rsidR="00361F13" w:rsidRPr="00821FC6" w:rsidRDefault="00361F13" w:rsidP="00361F13">
      <w:pPr>
        <w:widowControl w:val="0"/>
        <w:ind w:firstLine="567"/>
        <w:jc w:val="both"/>
        <w:rPr>
          <w:sz w:val="28"/>
          <w:szCs w:val="28"/>
        </w:rPr>
      </w:pPr>
    </w:p>
    <w:p w:rsidR="00361F13" w:rsidRPr="00821FC6" w:rsidRDefault="00361F13" w:rsidP="00361F13">
      <w:pPr>
        <w:widowControl w:val="0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2. Поручить представителям АО «Янтарьэнерго» в Совете директоров </w:t>
      </w:r>
      <w:r w:rsidRPr="00821FC6">
        <w:rPr>
          <w:sz w:val="28"/>
          <w:szCs w:val="28"/>
        </w:rPr>
        <w:br/>
        <w:t>ОАО «Янтарьэнергосбыт» голосовать «за» принятие следующего решения: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1.</w:t>
      </w:r>
      <w:r w:rsidRPr="00821FC6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«Янтарьэнергосбыт» за 1 квартал 2017 года согласно </w:t>
      </w:r>
      <w:proofErr w:type="gramStart"/>
      <w:r w:rsidRPr="00821FC6">
        <w:rPr>
          <w:sz w:val="28"/>
          <w:szCs w:val="28"/>
        </w:rPr>
        <w:t>Приложению</w:t>
      </w:r>
      <w:proofErr w:type="gramEnd"/>
      <w:r w:rsidRPr="00821FC6">
        <w:rPr>
          <w:sz w:val="28"/>
          <w:szCs w:val="28"/>
        </w:rPr>
        <w:t xml:space="preserve"> к настоящему решению Совета директоров Общества.</w:t>
      </w:r>
    </w:p>
    <w:p w:rsidR="00361F13" w:rsidRPr="00821FC6" w:rsidRDefault="00361F13" w:rsidP="00361F1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2.</w:t>
      </w:r>
      <w:r w:rsidRPr="00821FC6">
        <w:rPr>
          <w:sz w:val="28"/>
          <w:szCs w:val="28"/>
        </w:rPr>
        <w:tab/>
        <w:t xml:space="preserve">Отметить по итогам 1 квартала 2017 года неисполнение Обществом следующих параметров бизнес-плана: рост дебиторской задолженности на </w:t>
      </w:r>
      <w:r>
        <w:rPr>
          <w:sz w:val="28"/>
          <w:szCs w:val="28"/>
        </w:rPr>
        <w:br/>
      </w:r>
      <w:r w:rsidRPr="00821FC6">
        <w:rPr>
          <w:sz w:val="28"/>
          <w:szCs w:val="28"/>
        </w:rPr>
        <w:lastRenderedPageBreak/>
        <w:t>871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 на 01.04.2017: 2 750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 на 01.04.2017: </w:t>
      </w:r>
      <w:r>
        <w:rPr>
          <w:sz w:val="28"/>
          <w:szCs w:val="28"/>
        </w:rPr>
        <w:br/>
      </w:r>
      <w:r w:rsidRPr="00821FC6">
        <w:rPr>
          <w:sz w:val="28"/>
          <w:szCs w:val="28"/>
        </w:rPr>
        <w:t>3 621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рублей), рост кредиторской задолженности на 893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 на 01.04.2017: 1 095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 на 01.04.2017: 1 988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рублей).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3.</w:t>
      </w:r>
      <w:r w:rsidRPr="00821FC6">
        <w:rPr>
          <w:sz w:val="28"/>
          <w:szCs w:val="28"/>
        </w:rPr>
        <w:tab/>
        <w:t xml:space="preserve">Поручить Генеральному директору Общества обеспечить безусловное исполнение показателей бизнес-плана по итогам 2017 года, в том числе кредиторской и дебиторской задолженности. </w:t>
      </w:r>
    </w:p>
    <w:p w:rsidR="00361F13" w:rsidRPr="00821FC6" w:rsidRDefault="00361F13" w:rsidP="00361F13">
      <w:pPr>
        <w:ind w:firstLine="567"/>
        <w:jc w:val="both"/>
        <w:rPr>
          <w:sz w:val="28"/>
          <w:szCs w:val="28"/>
        </w:rPr>
      </w:pPr>
    </w:p>
    <w:p w:rsidR="00361F13" w:rsidRPr="00821FC6" w:rsidRDefault="00361F13" w:rsidP="00361F13">
      <w:pPr>
        <w:widowControl w:val="0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3. Поручить представителям АО «Янтарьэнерго» в Совете директоров </w:t>
      </w:r>
      <w:r w:rsidRPr="00821FC6">
        <w:rPr>
          <w:sz w:val="28"/>
          <w:szCs w:val="28"/>
        </w:rPr>
        <w:br/>
        <w:t>ОАО «Янтарьэнергосервис» голосовать «за» принятие следующего решения: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1.</w:t>
      </w:r>
      <w:r w:rsidRPr="00821FC6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«Янтарьэнергосервис» за 1 квартал 2017 года согласно </w:t>
      </w:r>
      <w:proofErr w:type="gramStart"/>
      <w:r w:rsidRPr="00821FC6">
        <w:rPr>
          <w:sz w:val="28"/>
          <w:szCs w:val="28"/>
        </w:rPr>
        <w:t>Приложению</w:t>
      </w:r>
      <w:proofErr w:type="gramEnd"/>
      <w:r w:rsidRPr="00821FC6">
        <w:rPr>
          <w:sz w:val="28"/>
          <w:szCs w:val="28"/>
        </w:rPr>
        <w:t xml:space="preserve"> к настоящему решению Совета директоров Общества.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2.</w:t>
      </w:r>
      <w:r w:rsidRPr="00821FC6">
        <w:rPr>
          <w:sz w:val="28"/>
          <w:szCs w:val="28"/>
        </w:rPr>
        <w:tab/>
        <w:t>Отметить по итогам 1 квартала 2017 года неисполнение Обществом запланированного финансового результата на 19,6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(план: -2,7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факт: -22,3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рублей).</w:t>
      </w:r>
    </w:p>
    <w:p w:rsidR="00361F13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3.</w:t>
      </w:r>
      <w:r w:rsidRPr="00821FC6">
        <w:rPr>
          <w:sz w:val="28"/>
          <w:szCs w:val="28"/>
        </w:rPr>
        <w:tab/>
        <w:t xml:space="preserve">Поручить Генеральному директору Общества обеспечить безусловное исполнение показателей бизнес-плана по итогам 2017 года, в том числе финансового результата. </w:t>
      </w:r>
    </w:p>
    <w:p w:rsidR="00E23123" w:rsidRPr="00821FC6" w:rsidRDefault="00E2312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F5634" w:rsidRDefault="004000CD" w:rsidP="00635995">
            <w:pPr>
              <w:rPr>
                <w:color w:val="000000"/>
                <w:sz w:val="24"/>
                <w:szCs w:val="24"/>
              </w:rPr>
            </w:pPr>
            <w:r w:rsidRPr="00EF563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F5634" w:rsidRDefault="005F5E6C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F563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56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A82295" w:rsidRDefault="005F5E6C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F311B2" w:rsidRPr="0088629E" w:rsidTr="00F311B2">
        <w:trPr>
          <w:trHeight w:val="310"/>
        </w:trPr>
        <w:tc>
          <w:tcPr>
            <w:tcW w:w="4585" w:type="dxa"/>
          </w:tcPr>
          <w:p w:rsidR="00F311B2" w:rsidRPr="00A82295" w:rsidRDefault="00F311B2" w:rsidP="0063599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A8229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11B2" w:rsidRPr="00A82295" w:rsidRDefault="00A82295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311B2" w:rsidRPr="00A82295" w:rsidRDefault="00F311B2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A82295" w:rsidRDefault="00A82295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9F403B" w:rsidRDefault="00FF13F0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3037EC"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61F13" w:rsidRPr="00821FC6" w:rsidRDefault="00361F13" w:rsidP="00361F13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1.</w:t>
      </w:r>
      <w:r w:rsidRPr="00821FC6">
        <w:rPr>
          <w:color w:val="000000"/>
          <w:spacing w:val="-2"/>
          <w:sz w:val="28"/>
          <w:szCs w:val="28"/>
        </w:rPr>
        <w:tab/>
        <w:t xml:space="preserve">Утвердить Отчет об исполнении бизнес-плана (в том числе инвестиционной программы и информации о ключевых операционных рисках) АО «Янтарьэнерго» за 1 квартал 2017 года согласно </w:t>
      </w:r>
      <w:proofErr w:type="gramStart"/>
      <w:r w:rsidRPr="00821FC6">
        <w:rPr>
          <w:color w:val="000000"/>
          <w:spacing w:val="-2"/>
          <w:sz w:val="28"/>
          <w:szCs w:val="28"/>
        </w:rPr>
        <w:t>Приложению</w:t>
      </w:r>
      <w:proofErr w:type="gramEnd"/>
      <w:r w:rsidRPr="00821FC6">
        <w:rPr>
          <w:color w:val="000000"/>
          <w:spacing w:val="-2"/>
          <w:sz w:val="28"/>
          <w:szCs w:val="28"/>
        </w:rPr>
        <w:t xml:space="preserve"> к настоящему решению Совета директоров Общества.</w:t>
      </w:r>
    </w:p>
    <w:p w:rsidR="00361F13" w:rsidRPr="00821FC6" w:rsidRDefault="00361F13" w:rsidP="00361F13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2.</w:t>
      </w:r>
      <w:r w:rsidRPr="00821FC6">
        <w:rPr>
          <w:color w:val="000000"/>
          <w:spacing w:val="-2"/>
          <w:sz w:val="28"/>
          <w:szCs w:val="28"/>
        </w:rPr>
        <w:tab/>
        <w:t>Отметить:</w:t>
      </w:r>
    </w:p>
    <w:p w:rsidR="00361F13" w:rsidRPr="00821FC6" w:rsidRDefault="00361F13" w:rsidP="00361F13">
      <w:pPr>
        <w:tabs>
          <w:tab w:val="left" w:pos="113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2.1.</w:t>
      </w:r>
      <w:r w:rsidRPr="00821FC6">
        <w:rPr>
          <w:color w:val="000000"/>
          <w:spacing w:val="-2"/>
          <w:sz w:val="28"/>
          <w:szCs w:val="28"/>
        </w:rPr>
        <w:tab/>
        <w:t>неисполнение запланированного уровня оплаты за оказанные услуги по передаче электрической энергии на 16% (план: 100,9%, факт: 84,9%).</w:t>
      </w:r>
    </w:p>
    <w:p w:rsidR="00361F13" w:rsidRPr="00821FC6" w:rsidRDefault="00361F13" w:rsidP="00361F13">
      <w:pPr>
        <w:tabs>
          <w:tab w:val="left" w:pos="113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2.2.</w:t>
      </w:r>
      <w:r w:rsidRPr="00821FC6">
        <w:rPr>
          <w:color w:val="000000"/>
          <w:spacing w:val="-2"/>
          <w:sz w:val="28"/>
          <w:szCs w:val="28"/>
        </w:rPr>
        <w:tab/>
        <w:t xml:space="preserve">внеплановую реализацию 31 титула по итогам 1 квартала 2017 года, </w:t>
      </w:r>
      <w:r w:rsidRPr="00821FC6">
        <w:rPr>
          <w:color w:val="000000"/>
          <w:spacing w:val="-2"/>
          <w:sz w:val="28"/>
          <w:szCs w:val="28"/>
        </w:rPr>
        <w:br/>
        <w:t xml:space="preserve">за исключением технологического присоединения, в объеме финансирования </w:t>
      </w:r>
      <w:r w:rsidRPr="00821FC6">
        <w:rPr>
          <w:color w:val="000000"/>
          <w:spacing w:val="-2"/>
          <w:sz w:val="28"/>
          <w:szCs w:val="28"/>
        </w:rPr>
        <w:br/>
        <w:t>24 млн. рублей с НДС.</w:t>
      </w:r>
    </w:p>
    <w:p w:rsidR="00361F13" w:rsidRPr="00821FC6" w:rsidRDefault="00361F13" w:rsidP="00361F13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lastRenderedPageBreak/>
        <w:t>3.</w:t>
      </w:r>
      <w:r w:rsidRPr="00821FC6">
        <w:rPr>
          <w:color w:val="000000"/>
          <w:spacing w:val="-2"/>
          <w:sz w:val="28"/>
          <w:szCs w:val="28"/>
        </w:rPr>
        <w:tab/>
        <w:t xml:space="preserve">Поручить Генеральному директору Общества предоставить на заседание Совета директоров Общества пояснения по отклонениям, указанным в пункте 2.2 настоящего решения Совета директоров Общества. </w:t>
      </w:r>
    </w:p>
    <w:p w:rsidR="00361F13" w:rsidRPr="00821FC6" w:rsidRDefault="00361F13" w:rsidP="00361F13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821FC6">
        <w:rPr>
          <w:color w:val="000000"/>
          <w:spacing w:val="-2"/>
          <w:sz w:val="28"/>
          <w:szCs w:val="28"/>
        </w:rPr>
        <w:t>Срок: в течение 30 дней после выхода настоящего решения Совета директоров Общества.</w:t>
      </w:r>
    </w:p>
    <w:p w:rsidR="00361F13" w:rsidRDefault="00361F13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2D0F0E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361F13" w:rsidRPr="00821FC6" w:rsidRDefault="00361F13" w:rsidP="00361F13">
      <w:pPr>
        <w:widowControl w:val="0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1. Поручить представителям АО «Янтарьэнерго» в Совете директоров </w:t>
      </w:r>
      <w:r w:rsidRPr="00821FC6">
        <w:rPr>
          <w:sz w:val="28"/>
          <w:szCs w:val="28"/>
        </w:rPr>
        <w:br/>
        <w:t>ОАО «Калининградская генерирующая компания» голосовать «За» принятие следующего решения: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1. Утвердить отчет об исполнении Бизнес-плана (в том числе инвестиционной программы) ОАО «Калининградская генерирующая компания» за 1 квартал 2017 года согласно </w:t>
      </w:r>
      <w:proofErr w:type="gramStart"/>
      <w:r w:rsidRPr="00821FC6">
        <w:rPr>
          <w:sz w:val="28"/>
          <w:szCs w:val="28"/>
        </w:rPr>
        <w:t>Приложению</w:t>
      </w:r>
      <w:proofErr w:type="gramEnd"/>
      <w:r w:rsidRPr="00821FC6">
        <w:rPr>
          <w:sz w:val="28"/>
          <w:szCs w:val="28"/>
        </w:rPr>
        <w:t xml:space="preserve"> к настоящему решению Совета директоров Общества.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2. Отметить по итогам 1 квартала 2017 года неисполнение Обществом следующих параметров бизнес-плана: снижение финансового результата на </w:t>
      </w:r>
      <w:r>
        <w:rPr>
          <w:sz w:val="28"/>
          <w:szCs w:val="28"/>
        </w:rPr>
        <w:br/>
      </w:r>
      <w:r w:rsidRPr="00821FC6">
        <w:rPr>
          <w:sz w:val="28"/>
          <w:szCs w:val="28"/>
        </w:rPr>
        <w:t>38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(план: 132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факт: 94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рублей), рост кредиторской задолженности на 230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 на 01.04.2017: 679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 на 01.04.2017: 909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рублей).</w:t>
      </w:r>
    </w:p>
    <w:p w:rsidR="00361F13" w:rsidRPr="00821FC6" w:rsidRDefault="00361F13" w:rsidP="00361F13">
      <w:pPr>
        <w:widowControl w:val="0"/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3. Поручить Генеральному директору Общества обеспечить безусловное исполнение показателей бизнес-плана по итогам 2017 года, в том числе кредиторской задолженности и финансового результата.</w:t>
      </w:r>
    </w:p>
    <w:p w:rsidR="00361F13" w:rsidRPr="00821FC6" w:rsidRDefault="00361F13" w:rsidP="00361F13">
      <w:pPr>
        <w:widowControl w:val="0"/>
        <w:ind w:firstLine="567"/>
        <w:jc w:val="both"/>
        <w:rPr>
          <w:sz w:val="28"/>
          <w:szCs w:val="28"/>
        </w:rPr>
      </w:pPr>
    </w:p>
    <w:p w:rsidR="00361F13" w:rsidRPr="00821FC6" w:rsidRDefault="00361F13" w:rsidP="00361F13">
      <w:pPr>
        <w:widowControl w:val="0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2. Поручить представителям АО «Янтарьэнерго» в Совете директоров </w:t>
      </w:r>
      <w:r w:rsidRPr="00821FC6">
        <w:rPr>
          <w:sz w:val="28"/>
          <w:szCs w:val="28"/>
        </w:rPr>
        <w:br/>
        <w:t>ОАО «Янтарьэнергосбыт» голосовать «за» принятие следующего решения: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1.</w:t>
      </w:r>
      <w:r w:rsidRPr="00821FC6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«Янтарьэнергосбыт» за 1 квартал 2017 года согласно </w:t>
      </w:r>
      <w:proofErr w:type="gramStart"/>
      <w:r w:rsidRPr="00821FC6">
        <w:rPr>
          <w:sz w:val="28"/>
          <w:szCs w:val="28"/>
        </w:rPr>
        <w:t>Приложению</w:t>
      </w:r>
      <w:proofErr w:type="gramEnd"/>
      <w:r w:rsidRPr="00821FC6">
        <w:rPr>
          <w:sz w:val="28"/>
          <w:szCs w:val="28"/>
        </w:rPr>
        <w:t xml:space="preserve"> к настоящему решению Совета директоров Общества.</w:t>
      </w:r>
    </w:p>
    <w:p w:rsidR="00361F13" w:rsidRPr="00821FC6" w:rsidRDefault="00361F13" w:rsidP="00361F1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2.</w:t>
      </w:r>
      <w:r w:rsidRPr="00821FC6">
        <w:rPr>
          <w:sz w:val="28"/>
          <w:szCs w:val="28"/>
        </w:rPr>
        <w:tab/>
        <w:t xml:space="preserve">Отметить по итогам 1 квартала 2017 года неисполнение Обществом следующих параметров бизнес-плана: рост дебиторской задолженности на </w:t>
      </w:r>
      <w:r>
        <w:rPr>
          <w:sz w:val="28"/>
          <w:szCs w:val="28"/>
        </w:rPr>
        <w:br/>
      </w:r>
      <w:r w:rsidRPr="00821FC6">
        <w:rPr>
          <w:sz w:val="28"/>
          <w:szCs w:val="28"/>
        </w:rPr>
        <w:t>871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 на 01.04.2017: 2 750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 на 01.04.2017: </w:t>
      </w:r>
      <w:r>
        <w:rPr>
          <w:sz w:val="28"/>
          <w:szCs w:val="28"/>
        </w:rPr>
        <w:br/>
      </w:r>
      <w:r w:rsidRPr="00821FC6">
        <w:rPr>
          <w:sz w:val="28"/>
          <w:szCs w:val="28"/>
        </w:rPr>
        <w:t>3 621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рублей), рост кредиторской задолженности на 893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 на 01.04.2017: 1 095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 на 01.04.2017: 1 988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рублей).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3.</w:t>
      </w:r>
      <w:r w:rsidRPr="00821FC6">
        <w:rPr>
          <w:sz w:val="28"/>
          <w:szCs w:val="28"/>
        </w:rPr>
        <w:tab/>
        <w:t xml:space="preserve">Поручить Генеральному директору Общества обеспечить безусловное исполнение показателей бизнес-плана по итогам 2017 года, в том числе кредиторской и дебиторской задолженности. </w:t>
      </w:r>
    </w:p>
    <w:p w:rsidR="00361F13" w:rsidRPr="00821FC6" w:rsidRDefault="00361F13" w:rsidP="00361F13">
      <w:pPr>
        <w:ind w:firstLine="567"/>
        <w:jc w:val="both"/>
        <w:rPr>
          <w:sz w:val="28"/>
          <w:szCs w:val="28"/>
        </w:rPr>
      </w:pPr>
    </w:p>
    <w:p w:rsidR="00361F13" w:rsidRPr="00821FC6" w:rsidRDefault="00361F13" w:rsidP="00361F13">
      <w:pPr>
        <w:widowControl w:val="0"/>
        <w:jc w:val="both"/>
        <w:rPr>
          <w:sz w:val="28"/>
          <w:szCs w:val="28"/>
        </w:rPr>
      </w:pPr>
      <w:r w:rsidRPr="00821FC6">
        <w:rPr>
          <w:sz w:val="28"/>
          <w:szCs w:val="28"/>
        </w:rPr>
        <w:t xml:space="preserve">3. Поручить представителям АО «Янтарьэнерго» в Совете директоров </w:t>
      </w:r>
      <w:r w:rsidRPr="00821FC6">
        <w:rPr>
          <w:sz w:val="28"/>
          <w:szCs w:val="28"/>
        </w:rPr>
        <w:br/>
        <w:t>ОАО «Янтарьэнергосервис» голосовать «за» принятие следующего решения: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1.</w:t>
      </w:r>
      <w:r w:rsidRPr="00821FC6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«Янтарьэнергосервис» за 1 квартал 2017 года согласно </w:t>
      </w:r>
      <w:proofErr w:type="gramStart"/>
      <w:r w:rsidRPr="00821FC6">
        <w:rPr>
          <w:sz w:val="28"/>
          <w:szCs w:val="28"/>
        </w:rPr>
        <w:t>Приложению</w:t>
      </w:r>
      <w:proofErr w:type="gramEnd"/>
      <w:r w:rsidRPr="00821FC6">
        <w:rPr>
          <w:sz w:val="28"/>
          <w:szCs w:val="28"/>
        </w:rPr>
        <w:t xml:space="preserve"> к настоящему решению Совета директоров Общества.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t>2.</w:t>
      </w:r>
      <w:r w:rsidRPr="00821FC6">
        <w:rPr>
          <w:sz w:val="28"/>
          <w:szCs w:val="28"/>
        </w:rPr>
        <w:tab/>
        <w:t>Отметить по итогам 1 квартала 2017 года неисполнение Обществом запланированного финансового результата на 19,6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 (план: -2,7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рублей, факт: -22,3 млн</w:t>
      </w:r>
      <w:r>
        <w:rPr>
          <w:sz w:val="28"/>
          <w:szCs w:val="28"/>
        </w:rPr>
        <w:t>.</w:t>
      </w:r>
      <w:r w:rsidRPr="00821FC6">
        <w:rPr>
          <w:sz w:val="28"/>
          <w:szCs w:val="28"/>
        </w:rPr>
        <w:t xml:space="preserve"> рублей).</w:t>
      </w:r>
    </w:p>
    <w:p w:rsidR="00361F13" w:rsidRPr="00821FC6" w:rsidRDefault="00361F13" w:rsidP="00361F13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21FC6">
        <w:rPr>
          <w:sz w:val="28"/>
          <w:szCs w:val="28"/>
        </w:rPr>
        <w:lastRenderedPageBreak/>
        <w:t>3.</w:t>
      </w:r>
      <w:r w:rsidRPr="00821FC6">
        <w:rPr>
          <w:sz w:val="28"/>
          <w:szCs w:val="28"/>
        </w:rPr>
        <w:tab/>
        <w:t xml:space="preserve">Поручить Генеральному директору Общества обеспечить безусловное исполнение показателей бизнес-плана по итогам 2017 года, в том числе финансового результата. </w:t>
      </w: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5EDB">
        <w:rPr>
          <w:rFonts w:eastAsiaTheme="minorHAnsi"/>
          <w:bCs/>
          <w:color w:val="000000"/>
          <w:sz w:val="28"/>
          <w:szCs w:val="28"/>
          <w:lang w:eastAsia="en-US"/>
        </w:rPr>
        <w:t>09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5EDB">
        <w:rPr>
          <w:rFonts w:eastAsiaTheme="minorHAnsi"/>
          <w:bCs/>
          <w:color w:val="000000"/>
          <w:sz w:val="28"/>
          <w:szCs w:val="28"/>
          <w:lang w:eastAsia="en-US"/>
        </w:rPr>
        <w:t>июня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23123" w:rsidRDefault="00E2312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F0" w:rsidRDefault="00A748F0" w:rsidP="001D1CEA">
      <w:r>
        <w:separator/>
      </w:r>
    </w:p>
  </w:endnote>
  <w:endnote w:type="continuationSeparator" w:id="0">
    <w:p w:rsidR="00A748F0" w:rsidRDefault="00A748F0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F0" w:rsidRDefault="00A748F0" w:rsidP="001D1CEA">
      <w:r>
        <w:separator/>
      </w:r>
    </w:p>
  </w:footnote>
  <w:footnote w:type="continuationSeparator" w:id="0">
    <w:p w:rsidR="00A748F0" w:rsidRDefault="00A748F0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6C">
          <w:rPr>
            <w:noProof/>
          </w:rPr>
          <w:t>5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B2"/>
    <w:multiLevelType w:val="hybridMultilevel"/>
    <w:tmpl w:val="5F2C941A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27137"/>
    <w:multiLevelType w:val="hybridMultilevel"/>
    <w:tmpl w:val="F018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92FD3"/>
    <w:multiLevelType w:val="hybridMultilevel"/>
    <w:tmpl w:val="BB9E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ABA"/>
    <w:multiLevelType w:val="hybridMultilevel"/>
    <w:tmpl w:val="4AC26DE4"/>
    <w:lvl w:ilvl="0" w:tplc="1D7A58E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C3CD4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575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4B43118A"/>
    <w:multiLevelType w:val="hybridMultilevel"/>
    <w:tmpl w:val="AC26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2F1"/>
    <w:multiLevelType w:val="hybridMultilevel"/>
    <w:tmpl w:val="83003C94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966C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2017EA"/>
    <w:multiLevelType w:val="hybridMultilevel"/>
    <w:tmpl w:val="1B7E0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3" w15:restartNumberingAfterBreak="0">
    <w:nsid w:val="4FED7FA2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D67265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952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503BF3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C1143"/>
    <w:multiLevelType w:val="hybridMultilevel"/>
    <w:tmpl w:val="F76E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414C0F"/>
    <w:multiLevelType w:val="hybridMultilevel"/>
    <w:tmpl w:val="AC26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33B79"/>
    <w:multiLevelType w:val="hybridMultilevel"/>
    <w:tmpl w:val="8C5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90D08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EAF4713"/>
    <w:multiLevelType w:val="hybridMultilevel"/>
    <w:tmpl w:val="F018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7"/>
  </w:num>
  <w:num w:numId="4">
    <w:abstractNumId w:val="32"/>
  </w:num>
  <w:num w:numId="5">
    <w:abstractNumId w:val="29"/>
  </w:num>
  <w:num w:numId="6">
    <w:abstractNumId w:val="7"/>
  </w:num>
  <w:num w:numId="7">
    <w:abstractNumId w:val="25"/>
  </w:num>
  <w:num w:numId="8">
    <w:abstractNumId w:val="24"/>
  </w:num>
  <w:num w:numId="9">
    <w:abstractNumId w:val="26"/>
  </w:num>
  <w:num w:numId="10">
    <w:abstractNumId w:val="40"/>
  </w:num>
  <w:num w:numId="11">
    <w:abstractNumId w:val="8"/>
  </w:num>
  <w:num w:numId="12">
    <w:abstractNumId w:val="42"/>
  </w:num>
  <w:num w:numId="13">
    <w:abstractNumId w:val="13"/>
  </w:num>
  <w:num w:numId="14">
    <w:abstractNumId w:val="19"/>
  </w:num>
  <w:num w:numId="15">
    <w:abstractNumId w:val="47"/>
  </w:num>
  <w:num w:numId="16">
    <w:abstractNumId w:val="5"/>
  </w:num>
  <w:num w:numId="17">
    <w:abstractNumId w:val="12"/>
  </w:num>
  <w:num w:numId="18">
    <w:abstractNumId w:val="28"/>
  </w:num>
  <w:num w:numId="19">
    <w:abstractNumId w:val="11"/>
  </w:num>
  <w:num w:numId="20">
    <w:abstractNumId w:val="35"/>
  </w:num>
  <w:num w:numId="21">
    <w:abstractNumId w:val="38"/>
  </w:num>
  <w:num w:numId="22">
    <w:abstractNumId w:val="9"/>
  </w:num>
  <w:num w:numId="23">
    <w:abstractNumId w:val="34"/>
  </w:num>
  <w:num w:numId="24">
    <w:abstractNumId w:val="30"/>
  </w:num>
  <w:num w:numId="25">
    <w:abstractNumId w:val="15"/>
  </w:num>
  <w:num w:numId="26">
    <w:abstractNumId w:val="22"/>
  </w:num>
  <w:num w:numId="27">
    <w:abstractNumId w:val="4"/>
  </w:num>
  <w:num w:numId="28">
    <w:abstractNumId w:val="21"/>
  </w:num>
  <w:num w:numId="29">
    <w:abstractNumId w:val="3"/>
  </w:num>
  <w:num w:numId="30">
    <w:abstractNumId w:val="31"/>
  </w:num>
  <w:num w:numId="31">
    <w:abstractNumId w:val="23"/>
  </w:num>
  <w:num w:numId="32">
    <w:abstractNumId w:val="20"/>
  </w:num>
  <w:num w:numId="33">
    <w:abstractNumId w:val="45"/>
  </w:num>
  <w:num w:numId="34">
    <w:abstractNumId w:val="18"/>
  </w:num>
  <w:num w:numId="35">
    <w:abstractNumId w:val="0"/>
  </w:num>
  <w:num w:numId="36">
    <w:abstractNumId w:val="36"/>
  </w:num>
  <w:num w:numId="37">
    <w:abstractNumId w:val="16"/>
  </w:num>
  <w:num w:numId="38">
    <w:abstractNumId w:val="33"/>
  </w:num>
  <w:num w:numId="39">
    <w:abstractNumId w:val="46"/>
  </w:num>
  <w:num w:numId="40">
    <w:abstractNumId w:val="44"/>
  </w:num>
  <w:num w:numId="41">
    <w:abstractNumId w:val="6"/>
  </w:num>
  <w:num w:numId="42">
    <w:abstractNumId w:val="27"/>
  </w:num>
  <w:num w:numId="43">
    <w:abstractNumId w:val="10"/>
  </w:num>
  <w:num w:numId="44">
    <w:abstractNumId w:val="43"/>
  </w:num>
  <w:num w:numId="45">
    <w:abstractNumId w:val="41"/>
  </w:num>
  <w:num w:numId="46">
    <w:abstractNumId w:val="17"/>
  </w:num>
  <w:num w:numId="47">
    <w:abstractNumId w:val="48"/>
  </w:num>
  <w:num w:numId="48">
    <w:abstractNumId w:val="1"/>
  </w:num>
  <w:num w:numId="49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1385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6C42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6E8"/>
    <w:rsid w:val="00124763"/>
    <w:rsid w:val="001254F4"/>
    <w:rsid w:val="00125D44"/>
    <w:rsid w:val="001304DA"/>
    <w:rsid w:val="00134C0D"/>
    <w:rsid w:val="00134E8E"/>
    <w:rsid w:val="00135D9F"/>
    <w:rsid w:val="001461FE"/>
    <w:rsid w:val="0014757E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A6767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1792"/>
    <w:rsid w:val="00472F00"/>
    <w:rsid w:val="00474343"/>
    <w:rsid w:val="00474E7B"/>
    <w:rsid w:val="00481A0F"/>
    <w:rsid w:val="004839AB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5B4E"/>
    <w:rsid w:val="004B608F"/>
    <w:rsid w:val="004B79E7"/>
    <w:rsid w:val="004D2916"/>
    <w:rsid w:val="004E0ED0"/>
    <w:rsid w:val="004E11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D411D"/>
    <w:rsid w:val="006E1538"/>
    <w:rsid w:val="006E4428"/>
    <w:rsid w:val="006F34F8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1ABC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18FC"/>
    <w:rsid w:val="00782463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280A"/>
    <w:rsid w:val="007D6676"/>
    <w:rsid w:val="007E1DC7"/>
    <w:rsid w:val="007E3309"/>
    <w:rsid w:val="007E52D2"/>
    <w:rsid w:val="007E58E3"/>
    <w:rsid w:val="007E6198"/>
    <w:rsid w:val="007E6510"/>
    <w:rsid w:val="007E6FA4"/>
    <w:rsid w:val="007F60EF"/>
    <w:rsid w:val="007F79FF"/>
    <w:rsid w:val="0080346B"/>
    <w:rsid w:val="00803CA0"/>
    <w:rsid w:val="00805EDB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3202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48F0"/>
    <w:rsid w:val="00A763C4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2BCA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06395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7C39"/>
    <w:rsid w:val="00BD7C57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302C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66CF"/>
    <w:rsid w:val="00D110A2"/>
    <w:rsid w:val="00D117EF"/>
    <w:rsid w:val="00D1181C"/>
    <w:rsid w:val="00D132A9"/>
    <w:rsid w:val="00D1619F"/>
    <w:rsid w:val="00D17432"/>
    <w:rsid w:val="00D23534"/>
    <w:rsid w:val="00D26359"/>
    <w:rsid w:val="00D26C74"/>
    <w:rsid w:val="00D27A5F"/>
    <w:rsid w:val="00D30DC8"/>
    <w:rsid w:val="00D333CA"/>
    <w:rsid w:val="00D36F38"/>
    <w:rsid w:val="00D40BD1"/>
    <w:rsid w:val="00D420A8"/>
    <w:rsid w:val="00D43A73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13E9"/>
    <w:rsid w:val="00E32128"/>
    <w:rsid w:val="00E35830"/>
    <w:rsid w:val="00E37B85"/>
    <w:rsid w:val="00E42DFE"/>
    <w:rsid w:val="00E47381"/>
    <w:rsid w:val="00E5203F"/>
    <w:rsid w:val="00E557E3"/>
    <w:rsid w:val="00E57D29"/>
    <w:rsid w:val="00E62EF0"/>
    <w:rsid w:val="00E63D55"/>
    <w:rsid w:val="00E647A6"/>
    <w:rsid w:val="00E661BB"/>
    <w:rsid w:val="00E724A9"/>
    <w:rsid w:val="00E737D8"/>
    <w:rsid w:val="00E73E00"/>
    <w:rsid w:val="00E753C3"/>
    <w:rsid w:val="00E77164"/>
    <w:rsid w:val="00E776C5"/>
    <w:rsid w:val="00E82C92"/>
    <w:rsid w:val="00E85149"/>
    <w:rsid w:val="00E85306"/>
    <w:rsid w:val="00E867DF"/>
    <w:rsid w:val="00E876E8"/>
    <w:rsid w:val="00E87D32"/>
    <w:rsid w:val="00E926F5"/>
    <w:rsid w:val="00E93177"/>
    <w:rsid w:val="00E97998"/>
    <w:rsid w:val="00E97BC6"/>
    <w:rsid w:val="00EA153B"/>
    <w:rsid w:val="00EA234B"/>
    <w:rsid w:val="00EA2A0D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5634"/>
    <w:rsid w:val="00EF7B3B"/>
    <w:rsid w:val="00F02025"/>
    <w:rsid w:val="00F040D3"/>
    <w:rsid w:val="00F072B6"/>
    <w:rsid w:val="00F1553B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C7"/>
    <w:rsid w:val="00F7022F"/>
    <w:rsid w:val="00F71BDF"/>
    <w:rsid w:val="00F73FA1"/>
    <w:rsid w:val="00F75537"/>
    <w:rsid w:val="00F75B8E"/>
    <w:rsid w:val="00F808F2"/>
    <w:rsid w:val="00F86DE6"/>
    <w:rsid w:val="00F87723"/>
    <w:rsid w:val="00F92A51"/>
    <w:rsid w:val="00F944A8"/>
    <w:rsid w:val="00F94C27"/>
    <w:rsid w:val="00FA1FC6"/>
    <w:rsid w:val="00FA468A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4F6F-5FDB-44DD-B451-03A36000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489</cp:revision>
  <cp:lastPrinted>2016-11-18T11:50:00Z</cp:lastPrinted>
  <dcterms:created xsi:type="dcterms:W3CDTF">2016-06-07T09:14:00Z</dcterms:created>
  <dcterms:modified xsi:type="dcterms:W3CDTF">2017-06-14T12:33:00Z</dcterms:modified>
</cp:coreProperties>
</file>