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031C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="00F031C1" w:rsidRPr="00F031C1">
        <w:rPr>
          <w:rFonts w:eastAsiaTheme="minorHAnsi"/>
          <w:sz w:val="28"/>
          <w:szCs w:val="28"/>
          <w:lang w:eastAsia="en-US"/>
        </w:rPr>
        <w:t>Ольхович Е.А.</w:t>
      </w:r>
      <w:proofErr w:type="gramStart"/>
      <w:r w:rsidR="00F031C1">
        <w:rPr>
          <w:rFonts w:eastAsiaTheme="minorHAnsi"/>
          <w:sz w:val="28"/>
          <w:szCs w:val="28"/>
          <w:lang w:eastAsia="en-US"/>
        </w:rPr>
        <w:t>,</w:t>
      </w:r>
      <w:r w:rsidR="00F031C1" w:rsidRPr="00F031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F031C1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7783E" w:rsidRDefault="003B2BED" w:rsidP="003B2BED">
      <w:pPr>
        <w:pStyle w:val="a7"/>
        <w:numPr>
          <w:ilvl w:val="0"/>
          <w:numId w:val="45"/>
        </w:numPr>
        <w:jc w:val="both"/>
        <w:rPr>
          <w:rFonts w:eastAsiaTheme="minorHAnsi"/>
          <w:sz w:val="28"/>
          <w:szCs w:val="28"/>
          <w:lang w:eastAsia="en-US"/>
        </w:rPr>
      </w:pPr>
      <w:r w:rsidRPr="003B2BED">
        <w:rPr>
          <w:rFonts w:eastAsiaTheme="minorHAnsi"/>
          <w:sz w:val="28"/>
          <w:szCs w:val="28"/>
          <w:lang w:eastAsia="en-US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3B2BED" w:rsidRPr="003B2BED" w:rsidRDefault="003B2BED" w:rsidP="003B2BE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F031C1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3B2BED" w:rsidRPr="003B2BED">
        <w:rPr>
          <w:sz w:val="28"/>
          <w:szCs w:val="28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B2BED" w:rsidRPr="003B2BED" w:rsidRDefault="003B2BED" w:rsidP="003B2BED">
      <w:pPr>
        <w:tabs>
          <w:tab w:val="left" w:pos="0"/>
        </w:tabs>
        <w:ind w:firstLine="567"/>
        <w:jc w:val="both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3B2BED">
        <w:rPr>
          <w:rFonts w:eastAsia="Calibri"/>
          <w:sz w:val="28"/>
          <w:szCs w:val="28"/>
          <w:lang w:eastAsia="en-US"/>
        </w:rPr>
        <w:t>1. Выдвинуть для избрания в состав Совета директоров                                         ОАО «Калининградская генерирующая компания» на годовом Общем собрании акционеров ОАО «Калининградская генерирующая компания» следующие кандидатуры</w:t>
      </w:r>
      <w:r w:rsidRPr="003B2BED">
        <w:rPr>
          <w:rFonts w:eastAsia="Calibri"/>
          <w:snapToGrid w:val="0"/>
          <w:color w:val="000000"/>
          <w:sz w:val="28"/>
          <w:szCs w:val="28"/>
          <w:lang w:eastAsia="en-US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9D0855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Зубрицкий Дмитрий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Михайлович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Врио первого заместителя Генерального директора – главного инженера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4.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Редько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Первый заместитель Генерального директора 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5.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Стельнова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Николаевна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департамента финансов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</w:tbl>
    <w:p w:rsidR="003B2BED" w:rsidRPr="003B2BED" w:rsidRDefault="003B2BED" w:rsidP="003B2BED">
      <w:pPr>
        <w:ind w:firstLine="567"/>
        <w:jc w:val="both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3B2BED">
        <w:rPr>
          <w:rFonts w:eastAsia="Calibri"/>
          <w:sz w:val="28"/>
          <w:szCs w:val="28"/>
          <w:lang w:eastAsia="en-US"/>
        </w:rPr>
        <w:t>2. Выдвинуть для избрания в состав Совета директоров                                                     ОАО «Янтарьэнергосервис» на годовом Общем собрании акционеров           ОАО «Янтарьэнергосервис» следующие кандидатуры</w:t>
      </w:r>
      <w:r w:rsidRPr="003B2BED">
        <w:rPr>
          <w:rFonts w:eastAsia="Calibri"/>
          <w:snapToGrid w:val="0"/>
          <w:color w:val="000000"/>
          <w:sz w:val="28"/>
          <w:szCs w:val="28"/>
          <w:lang w:eastAsia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9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-18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1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16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77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2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9D0855">
            <w:pPr>
              <w:widowControl w:val="0"/>
              <w:shd w:val="clear" w:color="auto" w:fill="FFFFFF"/>
              <w:ind w:left="16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9D0855">
            <w:pPr>
              <w:widowControl w:val="0"/>
              <w:shd w:val="clear" w:color="auto" w:fill="FFFFFF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Кремков Виталий 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9D0855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Советник Генерального директора по корпоративному управлению</w:t>
            </w:r>
            <w:r w:rsidR="009D0855">
              <w:rPr>
                <w:sz w:val="28"/>
                <w:szCs w:val="28"/>
              </w:rPr>
              <w:t xml:space="preserve"> </w:t>
            </w:r>
            <w:r w:rsidRPr="003B2BED">
              <w:rPr>
                <w:sz w:val="28"/>
                <w:szCs w:val="28"/>
              </w:rPr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9D085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Сильвестров Алексей 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9D0855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Заместитель Генерального директора по капитальному строительству</w:t>
            </w:r>
            <w:r w:rsidR="009D0855">
              <w:rPr>
                <w:sz w:val="28"/>
                <w:szCs w:val="28"/>
              </w:rPr>
              <w:t xml:space="preserve"> </w:t>
            </w:r>
            <w:r w:rsidRPr="003B2BED">
              <w:rPr>
                <w:sz w:val="28"/>
                <w:szCs w:val="28"/>
              </w:rPr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Стельнова Елена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Николаевна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департамента финансов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Котенев Сергей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Викторович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филиала АО «Янтарьэнерго» «Энергоремонт», и. о. Генерального директора ОАО «Янтарьэнергосервис»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Савостин Алексей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Дмитриевич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Заместитель Генерального директора </w:t>
            </w:r>
            <w:proofErr w:type="gramStart"/>
            <w:r w:rsidRPr="003B2BED">
              <w:rPr>
                <w:sz w:val="28"/>
                <w:szCs w:val="28"/>
              </w:rPr>
              <w:t>по  реализации</w:t>
            </w:r>
            <w:proofErr w:type="gramEnd"/>
            <w:r w:rsidRPr="003B2BED">
              <w:rPr>
                <w:sz w:val="28"/>
                <w:szCs w:val="28"/>
              </w:rPr>
              <w:t xml:space="preserve"> и развитию услуг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2BED">
        <w:rPr>
          <w:bCs/>
          <w:sz w:val="28"/>
          <w:szCs w:val="28"/>
        </w:rPr>
        <w:t>3. Выдвинуть для избрания в состав Совета директоров                                                          ОАО «Янтарьэнергосбыт» на годовом Общем собрании акционеров                           ОАО «Янтарьэнергосбыт»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rPr>
          <w:trHeight w:val="784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4"/>
              </w:rPr>
            </w:pPr>
            <w:r w:rsidRPr="003B2BED">
              <w:rPr>
                <w:sz w:val="28"/>
                <w:szCs w:val="24"/>
              </w:rPr>
              <w:t xml:space="preserve">Савостин Алексей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4"/>
              </w:rPr>
              <w:t>Дмитриевич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4"/>
              </w:rPr>
              <w:t xml:space="preserve">Заместитель Генерального директора </w:t>
            </w:r>
            <w:r w:rsidRPr="003B2BED">
              <w:rPr>
                <w:sz w:val="28"/>
                <w:szCs w:val="28"/>
              </w:rPr>
              <w:t>по реализации и развитию услуг</w:t>
            </w:r>
            <w:r w:rsidRPr="003B2BED">
              <w:rPr>
                <w:sz w:val="28"/>
                <w:szCs w:val="24"/>
              </w:rPr>
              <w:t xml:space="preserve"> </w:t>
            </w:r>
            <w:r w:rsidRPr="003B2BED">
              <w:rPr>
                <w:sz w:val="28"/>
                <w:szCs w:val="24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Резакова Владислава Владимировна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Генеральный директор</w:t>
            </w:r>
            <w:r w:rsidR="006C7E1B">
              <w:rPr>
                <w:sz w:val="28"/>
                <w:szCs w:val="28"/>
              </w:rPr>
              <w:t xml:space="preserve">                                                           О</w:t>
            </w:r>
            <w:r w:rsidRPr="003B2BED">
              <w:rPr>
                <w:sz w:val="28"/>
                <w:szCs w:val="28"/>
              </w:rPr>
              <w:t>АО «Янтарьэнергосбыт»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5.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Редько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Первый заместитель Генерального директора </w:t>
            </w:r>
            <w:r w:rsidR="006C7E1B">
              <w:rPr>
                <w:sz w:val="28"/>
                <w:szCs w:val="28"/>
              </w:rPr>
              <w:t xml:space="preserve">   </w:t>
            </w:r>
            <w:r w:rsidRPr="003B2BED">
              <w:rPr>
                <w:sz w:val="28"/>
                <w:szCs w:val="28"/>
              </w:rPr>
              <w:t>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color w:val="000000"/>
          <w:sz w:val="28"/>
          <w:szCs w:val="28"/>
        </w:rPr>
        <w:t xml:space="preserve">4. Выдвинуть для избрания в состав Ревизионной комиссии                                            </w:t>
      </w:r>
      <w:r w:rsidRPr="003B2BED">
        <w:rPr>
          <w:sz w:val="28"/>
          <w:szCs w:val="28"/>
        </w:rPr>
        <w:t xml:space="preserve">ОАО «Калининградская генерирующая компания» на </w:t>
      </w:r>
      <w:r w:rsidRPr="003B2BED">
        <w:rPr>
          <w:color w:val="000000"/>
          <w:sz w:val="28"/>
          <w:szCs w:val="28"/>
        </w:rPr>
        <w:t>годовом</w:t>
      </w:r>
      <w:r w:rsidRPr="003B2BED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Андреева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Заместитель начальника департамента финансов 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sz w:val="28"/>
          <w:szCs w:val="28"/>
        </w:rPr>
        <w:t>5. Выдвинуть для избрания в состав Ревизионной комиссии                                              ОАО «Янтарьэнергосервис» на годовом Общем собрании акционеров                    ОАО «Янтарьэнергосервис»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Андреева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Заместитель начальника департамента финансов 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sz w:val="28"/>
          <w:szCs w:val="28"/>
        </w:rPr>
        <w:t>6. Выдвинуть для избрания в состав Ревизионной комиссии                                           ОАО «Янтарьэнергосбыт» на годовом Общем собрании акционеров                         ОАО «Янтарьэнергосбыт»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rFonts w:eastAsia="Calibri"/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Сухотина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Леонидовна  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Начальник департамента экономики и тарифообразования </w:t>
            </w:r>
            <w:r w:rsidRPr="003B2BED">
              <w:rPr>
                <w:rFonts w:eastAsia="Calibri"/>
                <w:sz w:val="28"/>
                <w:szCs w:val="28"/>
              </w:rPr>
              <w:br/>
              <w:t>АО «Янтарьэнерго»</w:t>
            </w:r>
          </w:p>
        </w:tc>
      </w:tr>
    </w:tbl>
    <w:p w:rsidR="003B2BED" w:rsidRDefault="003B2BED" w:rsidP="008249D3">
      <w:pPr>
        <w:jc w:val="both"/>
        <w:rPr>
          <w:bCs/>
          <w:sz w:val="28"/>
          <w:szCs w:val="28"/>
        </w:rPr>
      </w:pP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EE247B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EE247B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C7E1B" w:rsidRPr="0088629E" w:rsidTr="006C7E1B">
        <w:tc>
          <w:tcPr>
            <w:tcW w:w="4583" w:type="dxa"/>
          </w:tcPr>
          <w:p w:rsidR="006C7E1B" w:rsidRPr="00621818" w:rsidRDefault="006C7E1B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6C7E1B" w:rsidRPr="00A82295" w:rsidRDefault="006C7E1B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C7E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C7E1B" w:rsidRPr="00A82295" w:rsidRDefault="006C7E1B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6C7E1B" w:rsidRPr="00A82295" w:rsidRDefault="006C7E1B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249D3" w:rsidRDefault="0062730C" w:rsidP="00146560">
      <w:pPr>
        <w:widowControl w:val="0"/>
        <w:tabs>
          <w:tab w:val="left" w:pos="2550"/>
        </w:tabs>
        <w:jc w:val="both"/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031C1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031C1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3B2BED" w:rsidRPr="003B2BED" w:rsidRDefault="003B2BED" w:rsidP="003B2BED">
      <w:pPr>
        <w:tabs>
          <w:tab w:val="left" w:pos="0"/>
        </w:tabs>
        <w:ind w:firstLine="567"/>
        <w:jc w:val="both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3B2BED">
        <w:rPr>
          <w:rFonts w:eastAsia="Calibri"/>
          <w:sz w:val="28"/>
          <w:szCs w:val="28"/>
          <w:lang w:eastAsia="en-US"/>
        </w:rPr>
        <w:t>1. Выдвинуть для избрания в состав Совета директоров                                         ОАО «Калининградская генерирующая компания» на годовом Общем собрании акционеров ОАО «Калининградская генерирующая компания» следующие кандидатуры</w:t>
      </w:r>
      <w:r w:rsidRPr="003B2BED">
        <w:rPr>
          <w:rFonts w:eastAsia="Calibri"/>
          <w:snapToGrid w:val="0"/>
          <w:color w:val="000000"/>
          <w:sz w:val="28"/>
          <w:szCs w:val="28"/>
          <w:lang w:eastAsia="en-US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Зубрицкий Дмитрий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Михайлович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Врио первого заместителя Генерального директора – главного инженера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4.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Редько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Первый заместитель Генерального директора 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5.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Стельнова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Николаевна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департамента финансов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</w:tbl>
    <w:p w:rsidR="003B2BED" w:rsidRPr="003B2BED" w:rsidRDefault="003B2BED" w:rsidP="003B2BED">
      <w:pPr>
        <w:ind w:firstLine="567"/>
        <w:jc w:val="both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3B2BED">
        <w:rPr>
          <w:rFonts w:eastAsia="Calibri"/>
          <w:sz w:val="28"/>
          <w:szCs w:val="28"/>
          <w:lang w:eastAsia="en-US"/>
        </w:rPr>
        <w:t>2. Выдвинуть для избрания в состав Совета директоров                                                     ОАО «Янтарьэнергосервис» на годовом Общем собрании акционеров           ОАО «Янтарьэнергосервис» следующие кандидатуры</w:t>
      </w:r>
      <w:r w:rsidRPr="003B2BED">
        <w:rPr>
          <w:rFonts w:eastAsia="Calibri"/>
          <w:snapToGrid w:val="0"/>
          <w:color w:val="000000"/>
          <w:sz w:val="28"/>
          <w:szCs w:val="28"/>
          <w:lang w:eastAsia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9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-18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1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16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77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lastRenderedPageBreak/>
              <w:t>2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6C7E1B">
            <w:pPr>
              <w:widowControl w:val="0"/>
              <w:shd w:val="clear" w:color="auto" w:fill="FFFFFF"/>
              <w:ind w:left="16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6C7E1B">
            <w:pPr>
              <w:widowControl w:val="0"/>
              <w:shd w:val="clear" w:color="auto" w:fill="FFFFFF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sz w:val="28"/>
                <w:szCs w:val="28"/>
              </w:rPr>
              <w:t>Кремков Виталий 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Советник Генерального директора по корпоративному управлению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6C7E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Сильвестров Алексей Владимирович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Заместитель Генерального директора по капитальному строительству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Стельнова Елена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Николаевна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департамента финансов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Котенев Сергей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Викторович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филиала АО «Янтарьэнерго» «Энергоремонт», и. о. Генерального директора ОАО «Янтарьэнергосервис»</w:t>
            </w:r>
          </w:p>
        </w:tc>
      </w:tr>
      <w:tr w:rsidR="003B2BED" w:rsidRPr="003B2BED" w:rsidTr="00370CF5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83"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Савостин Алексей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Дмитриевич</w:t>
            </w:r>
          </w:p>
        </w:tc>
        <w:tc>
          <w:tcPr>
            <w:tcW w:w="5959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Заместитель Генерального директора </w:t>
            </w:r>
            <w:proofErr w:type="gramStart"/>
            <w:r w:rsidRPr="003B2BED">
              <w:rPr>
                <w:sz w:val="28"/>
                <w:szCs w:val="28"/>
              </w:rPr>
              <w:t>по  реализации</w:t>
            </w:r>
            <w:proofErr w:type="gramEnd"/>
            <w:r w:rsidRPr="003B2BED">
              <w:rPr>
                <w:sz w:val="28"/>
                <w:szCs w:val="28"/>
              </w:rPr>
              <w:t xml:space="preserve"> и развитию услуг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2BED">
        <w:rPr>
          <w:bCs/>
          <w:sz w:val="28"/>
          <w:szCs w:val="28"/>
        </w:rPr>
        <w:t>3. Выдвинуть для избрания в состав Совета директоров                                                          ОАО «Янтарьэнергосбыт» на годовом Общем собрании акционеров                           ОАО «Янтарьэнергосбыт»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Маковский Игорь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ПАО «МРСК Центра» </w:t>
            </w:r>
          </w:p>
        </w:tc>
      </w:tr>
      <w:tr w:rsidR="003B2BED" w:rsidRPr="003B2BED" w:rsidTr="00370CF5">
        <w:trPr>
          <w:trHeight w:val="784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Юткин Кирилл Александрович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Генеральный директор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4"/>
              </w:rPr>
            </w:pPr>
            <w:r w:rsidRPr="003B2BED">
              <w:rPr>
                <w:sz w:val="28"/>
                <w:szCs w:val="24"/>
              </w:rPr>
              <w:t xml:space="preserve">Савостин Алексей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4"/>
              </w:rPr>
              <w:t>Дмитриевич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4"/>
              </w:rPr>
              <w:t xml:space="preserve">Заместитель Генерального директора </w:t>
            </w:r>
            <w:r w:rsidRPr="003B2BED">
              <w:rPr>
                <w:sz w:val="28"/>
                <w:szCs w:val="28"/>
              </w:rPr>
              <w:t>по реализации и развитию услуг</w:t>
            </w:r>
            <w:r w:rsidRPr="003B2BED">
              <w:rPr>
                <w:sz w:val="28"/>
                <w:szCs w:val="24"/>
              </w:rPr>
              <w:t xml:space="preserve"> </w:t>
            </w:r>
            <w:r w:rsidRPr="003B2BED">
              <w:rPr>
                <w:sz w:val="28"/>
                <w:szCs w:val="24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4.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6C7E1B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Резакова Владислава Владимировна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Генеральный директор </w:t>
            </w:r>
            <w:r w:rsidRPr="003B2BED">
              <w:rPr>
                <w:sz w:val="28"/>
                <w:szCs w:val="28"/>
              </w:rPr>
              <w:br/>
              <w:t>ОАО «Янтарьэнергосбыт»</w:t>
            </w:r>
          </w:p>
        </w:tc>
      </w:tr>
      <w:tr w:rsidR="003B2BED" w:rsidRPr="003B2BED" w:rsidTr="00370CF5">
        <w:trPr>
          <w:trHeight w:val="20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5.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Редько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709"/>
                <w:tab w:val="left" w:pos="1302"/>
              </w:tabs>
              <w:jc w:val="both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Первый заместитель Генерального директора 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color w:val="000000"/>
          <w:sz w:val="28"/>
          <w:szCs w:val="28"/>
        </w:rPr>
        <w:t xml:space="preserve">4. Выдвинуть для избрания в состав Ревизионной комиссии                                            </w:t>
      </w:r>
      <w:r w:rsidRPr="003B2BED">
        <w:rPr>
          <w:sz w:val="28"/>
          <w:szCs w:val="28"/>
        </w:rPr>
        <w:t xml:space="preserve">ОАО «Калининградская генерирующая компания» на </w:t>
      </w:r>
      <w:r w:rsidRPr="003B2BED">
        <w:rPr>
          <w:color w:val="000000"/>
          <w:sz w:val="28"/>
          <w:szCs w:val="28"/>
        </w:rPr>
        <w:t>годовом</w:t>
      </w:r>
      <w:r w:rsidRPr="003B2BED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Андреева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Заместитель начальника департамента финансов 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sz w:val="28"/>
          <w:szCs w:val="28"/>
        </w:rPr>
        <w:t>5. Выдвинуть для избрания в состав Ревизионной комиссии                                              ОАО «Янтарьэнергосервис» на годовом Общем собрании акционеров                    ОАО «Янтарьэнергосервис»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 xml:space="preserve">Андреева Елена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sz w:val="28"/>
                <w:szCs w:val="28"/>
              </w:rPr>
              <w:t>Заместитель начальника департамента финансов АО «Янтарьэнерго»</w:t>
            </w:r>
          </w:p>
        </w:tc>
      </w:tr>
    </w:tbl>
    <w:p w:rsidR="003B2BED" w:rsidRPr="003B2BED" w:rsidRDefault="003B2BED" w:rsidP="003B2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ED">
        <w:rPr>
          <w:sz w:val="28"/>
          <w:szCs w:val="28"/>
        </w:rPr>
        <w:t>6. Выдвинуть для избрания в состав Ревизионной комиссии                                           ОАО «Янтарьэнергосбыт» на годовом Общем собрании акционеров                         ОАО «Янтарьэнергосбыт» следующие кандидатуры: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5954"/>
      </w:tblGrid>
      <w:tr w:rsidR="003B2BED" w:rsidRPr="003B2BED" w:rsidTr="00370CF5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</w:p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16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33" w:right="40"/>
              <w:jc w:val="both"/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3B2BED">
              <w:rPr>
                <w:rFonts w:eastAsia="Calibri"/>
                <w:bCs/>
                <w:color w:val="000000"/>
                <w:spacing w:val="-3"/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  <w:hideMark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Стравинскене Анастасия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Начальник отдела экономики </w:t>
            </w:r>
            <w:r w:rsidRPr="003B2BED">
              <w:rPr>
                <w:rFonts w:eastAsia="Calibri"/>
                <w:sz w:val="28"/>
                <w:szCs w:val="28"/>
              </w:rPr>
              <w:br/>
              <w:t>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Бекасов Глеб </w:t>
            </w:r>
          </w:p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0"/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>Директор дирекции внутреннего аудита и контроля АО «Янтарьэнерго»</w:t>
            </w:r>
          </w:p>
        </w:tc>
      </w:tr>
      <w:tr w:rsidR="003B2BED" w:rsidRPr="003B2BED" w:rsidTr="00370CF5">
        <w:trPr>
          <w:trHeight w:val="923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3B2BED" w:rsidRPr="003B2BED" w:rsidRDefault="003B2BED" w:rsidP="003B2BED">
            <w:pPr>
              <w:widowControl w:val="0"/>
              <w:shd w:val="clear" w:color="auto" w:fill="FFFFFF"/>
              <w:tabs>
                <w:tab w:val="left" w:pos="0"/>
              </w:tabs>
              <w:ind w:left="-142"/>
              <w:jc w:val="center"/>
              <w:rPr>
                <w:bCs/>
                <w:spacing w:val="-3"/>
                <w:sz w:val="28"/>
                <w:szCs w:val="28"/>
              </w:rPr>
            </w:pPr>
            <w:r w:rsidRPr="003B2BED">
              <w:rPr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2830" w:type="dxa"/>
            <w:shd w:val="clear" w:color="auto" w:fill="FFFFFF"/>
          </w:tcPr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Сухотина Ирина </w:t>
            </w:r>
          </w:p>
          <w:p w:rsidR="003B2BED" w:rsidRPr="003B2BED" w:rsidRDefault="003B2BED" w:rsidP="003B2BED">
            <w:pPr>
              <w:tabs>
                <w:tab w:val="left" w:pos="1302"/>
              </w:tabs>
              <w:ind w:right="77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 xml:space="preserve">Леонидовна  </w:t>
            </w:r>
          </w:p>
        </w:tc>
        <w:tc>
          <w:tcPr>
            <w:tcW w:w="5954" w:type="dxa"/>
            <w:shd w:val="clear" w:color="auto" w:fill="FFFFFF"/>
          </w:tcPr>
          <w:p w:rsidR="003B2BED" w:rsidRPr="003B2BED" w:rsidRDefault="003B2BED" w:rsidP="004B073A">
            <w:pPr>
              <w:tabs>
                <w:tab w:val="left" w:pos="1302"/>
              </w:tabs>
              <w:ind w:right="126"/>
              <w:jc w:val="both"/>
              <w:rPr>
                <w:rFonts w:eastAsia="Calibri"/>
                <w:sz w:val="28"/>
                <w:szCs w:val="28"/>
              </w:rPr>
            </w:pPr>
            <w:r w:rsidRPr="003B2BED">
              <w:rPr>
                <w:rFonts w:eastAsia="Calibri"/>
                <w:sz w:val="28"/>
                <w:szCs w:val="28"/>
              </w:rPr>
              <w:t>Начальник департамента экономики и тарифообразования АО «Янтарьэнерго»</w:t>
            </w:r>
          </w:p>
        </w:tc>
      </w:tr>
    </w:tbl>
    <w:p w:rsidR="003B2BED" w:rsidRDefault="003B2BED" w:rsidP="00146560">
      <w:pPr>
        <w:widowControl w:val="0"/>
        <w:tabs>
          <w:tab w:val="left" w:pos="2550"/>
        </w:tabs>
        <w:jc w:val="both"/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518C9">
        <w:rPr>
          <w:rFonts w:eastAsiaTheme="minorHAnsi"/>
          <w:bCs/>
          <w:color w:val="000000"/>
          <w:sz w:val="28"/>
          <w:szCs w:val="28"/>
          <w:lang w:eastAsia="en-US"/>
        </w:rPr>
        <w:t>04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518C9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17E2C" w:rsidRDefault="00417E2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F678F9" w:rsidRDefault="00F678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09" w:rsidRDefault="00381709" w:rsidP="001D1CEA">
      <w:r>
        <w:separator/>
      </w:r>
    </w:p>
  </w:endnote>
  <w:endnote w:type="continuationSeparator" w:id="0">
    <w:p w:rsidR="00381709" w:rsidRDefault="00381709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09" w:rsidRDefault="00381709" w:rsidP="001D1CEA">
      <w:r>
        <w:separator/>
      </w:r>
    </w:p>
  </w:footnote>
  <w:footnote w:type="continuationSeparator" w:id="0">
    <w:p w:rsidR="00381709" w:rsidRDefault="00381709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2C">
          <w:rPr>
            <w:noProof/>
          </w:rPr>
          <w:t>6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A62C1"/>
    <w:multiLevelType w:val="hybridMultilevel"/>
    <w:tmpl w:val="C8BC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9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2"/>
  </w:num>
  <w:num w:numId="6">
    <w:abstractNumId w:val="35"/>
  </w:num>
  <w:num w:numId="7">
    <w:abstractNumId w:val="29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4"/>
  </w:num>
  <w:num w:numId="14">
    <w:abstractNumId w:val="13"/>
  </w:num>
  <w:num w:numId="15">
    <w:abstractNumId w:val="38"/>
  </w:num>
  <w:num w:numId="16">
    <w:abstractNumId w:val="37"/>
  </w:num>
  <w:num w:numId="17">
    <w:abstractNumId w:val="14"/>
  </w:num>
  <w:num w:numId="18">
    <w:abstractNumId w:val="40"/>
  </w:num>
  <w:num w:numId="19">
    <w:abstractNumId w:val="41"/>
  </w:num>
  <w:num w:numId="20">
    <w:abstractNumId w:val="7"/>
  </w:num>
  <w:num w:numId="21">
    <w:abstractNumId w:val="32"/>
  </w:num>
  <w:num w:numId="22">
    <w:abstractNumId w:val="18"/>
  </w:num>
  <w:num w:numId="23">
    <w:abstractNumId w:val="22"/>
  </w:num>
  <w:num w:numId="24">
    <w:abstractNumId w:val="9"/>
  </w:num>
  <w:num w:numId="25">
    <w:abstractNumId w:val="19"/>
  </w:num>
  <w:num w:numId="26">
    <w:abstractNumId w:val="0"/>
  </w:num>
  <w:num w:numId="27">
    <w:abstractNumId w:val="34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1"/>
  </w:num>
  <w:num w:numId="34">
    <w:abstractNumId w:val="23"/>
  </w:num>
  <w:num w:numId="35">
    <w:abstractNumId w:val="43"/>
  </w:num>
  <w:num w:numId="36">
    <w:abstractNumId w:val="30"/>
  </w:num>
  <w:num w:numId="37">
    <w:abstractNumId w:val="33"/>
  </w:num>
  <w:num w:numId="38">
    <w:abstractNumId w:val="42"/>
  </w:num>
  <w:num w:numId="39">
    <w:abstractNumId w:val="6"/>
  </w:num>
  <w:num w:numId="40">
    <w:abstractNumId w:val="8"/>
  </w:num>
  <w:num w:numId="41">
    <w:abstractNumId w:val="2"/>
  </w:num>
  <w:num w:numId="42">
    <w:abstractNumId w:val="36"/>
  </w:num>
  <w:num w:numId="43">
    <w:abstractNumId w:val="39"/>
  </w:num>
  <w:num w:numId="44">
    <w:abstractNumId w:val="28"/>
  </w:num>
  <w:num w:numId="4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709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B2BED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17E2C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18C9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073A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C7E1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55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31C1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678F9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F524-B86D-455D-99CE-B9A71131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45</cp:revision>
  <cp:lastPrinted>2018-12-21T06:56:00Z</cp:lastPrinted>
  <dcterms:created xsi:type="dcterms:W3CDTF">2018-12-27T15:19:00Z</dcterms:created>
  <dcterms:modified xsi:type="dcterms:W3CDTF">2019-03-11T07:09:00Z</dcterms:modified>
</cp:coreProperties>
</file>