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05080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35578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2</w:t>
      </w:r>
      <w:r w:rsidR="00835578"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850DF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50DF7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50DF7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FD3" w:rsidRPr="00850DF7">
        <w:rPr>
          <w:rFonts w:eastAsiaTheme="minorHAnsi"/>
          <w:sz w:val="28"/>
          <w:szCs w:val="28"/>
          <w:lang w:eastAsia="en-US"/>
        </w:rPr>
        <w:t>7</w:t>
      </w:r>
      <w:r w:rsidRPr="00850DF7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850DF7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8537C" w:rsidRPr="0000501C" w:rsidRDefault="0028537C" w:rsidP="0028537C">
      <w:pPr>
        <w:pStyle w:val="a7"/>
        <w:numPr>
          <w:ilvl w:val="0"/>
          <w:numId w:val="25"/>
        </w:numPr>
        <w:jc w:val="both"/>
        <w:rPr>
          <w:rFonts w:eastAsiaTheme="majorEastAsia"/>
        </w:rPr>
      </w:pPr>
      <w:r w:rsidRPr="0000501C">
        <w:rPr>
          <w:sz w:val="28"/>
          <w:szCs w:val="28"/>
        </w:rPr>
        <w:t xml:space="preserve">О рассмотрении отчета Дирекции внутреннего аудита и контроля  </w:t>
      </w:r>
      <w:r w:rsidR="00E82C92">
        <w:rPr>
          <w:sz w:val="28"/>
          <w:szCs w:val="28"/>
        </w:rPr>
        <w:t xml:space="preserve">                                     </w:t>
      </w:r>
      <w:r w:rsidRPr="0000501C">
        <w:rPr>
          <w:sz w:val="28"/>
          <w:szCs w:val="28"/>
        </w:rPr>
        <w:t>АО «Янтарьэнерго» о выполнении плана работы и результатов деятельности внутреннего аудита за 2015 год.</w:t>
      </w:r>
    </w:p>
    <w:p w:rsidR="0028537C" w:rsidRPr="0000501C" w:rsidRDefault="0028537C" w:rsidP="0028537C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Отчет Единоличного исполнительного органа АО «Янтарьэнерго» об эффективности системы внутреннего контроля Общества за 2015 год.</w:t>
      </w:r>
    </w:p>
    <w:p w:rsidR="0028537C" w:rsidRPr="0000501C" w:rsidRDefault="0028537C" w:rsidP="0028537C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bCs/>
          <w:sz w:val="28"/>
          <w:szCs w:val="28"/>
        </w:rPr>
        <w:t>О рассмотрении отчета Генерального директора АО 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года.</w:t>
      </w:r>
    </w:p>
    <w:p w:rsidR="0028537C" w:rsidRPr="0000501C" w:rsidRDefault="0028537C" w:rsidP="0028537C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2 квартал 2016 года».</w:t>
      </w:r>
    </w:p>
    <w:p w:rsidR="0028537C" w:rsidRPr="0000501C" w:rsidRDefault="0028537C" w:rsidP="0028537C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2 квартал 2016 года.</w:t>
      </w:r>
    </w:p>
    <w:p w:rsidR="0028537C" w:rsidRPr="0000501C" w:rsidRDefault="0028537C" w:rsidP="0028537C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директора ОАО «Калининградская генерирующая компания» о кредитной политике за 4 квартал 2015 года».</w:t>
      </w:r>
    </w:p>
    <w:p w:rsidR="0028537C" w:rsidRPr="0000501C" w:rsidRDefault="0028537C" w:rsidP="0028537C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 xml:space="preserve">Об определении позиции АО «Янтарьэнерго» по вопросу повестки дня заседания Совета директоров ОАО «Янтарьэнергосбыт» «О рассмотрении </w:t>
      </w:r>
      <w:r w:rsidRPr="0000501C">
        <w:rPr>
          <w:sz w:val="28"/>
          <w:szCs w:val="28"/>
        </w:rPr>
        <w:lastRenderedPageBreak/>
        <w:t>отчета генерального директора ОАО «Янтарьэнергосбыт» о кредитной политике за 4 квартал 2015 года».</w:t>
      </w:r>
    </w:p>
    <w:p w:rsidR="0028537C" w:rsidRDefault="0028537C" w:rsidP="0028537C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 «Об утверждении отчета о выполнении целевых значений ключевых показателей эффективности (КПЭ) за 4 квартал и 2015 год.</w:t>
      </w:r>
    </w:p>
    <w:p w:rsidR="0028537C" w:rsidRPr="0000501C" w:rsidRDefault="0028537C" w:rsidP="0028537C">
      <w:pPr>
        <w:ind w:left="360"/>
        <w:jc w:val="both"/>
        <w:rPr>
          <w:sz w:val="28"/>
          <w:szCs w:val="28"/>
        </w:rPr>
      </w:pPr>
    </w:p>
    <w:p w:rsidR="00050807" w:rsidRDefault="0088629E" w:rsidP="000012C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28537C" w:rsidRPr="00C34C10">
        <w:rPr>
          <w:sz w:val="28"/>
          <w:szCs w:val="28"/>
        </w:rPr>
        <w:t xml:space="preserve">О рассмотрении отчета Дирекции внутреннего аудита и контроля </w:t>
      </w:r>
      <w:r w:rsidR="00E82C92">
        <w:rPr>
          <w:sz w:val="28"/>
          <w:szCs w:val="28"/>
        </w:rPr>
        <w:t xml:space="preserve">               </w:t>
      </w:r>
      <w:r w:rsidR="0028537C" w:rsidRPr="00C34C10">
        <w:rPr>
          <w:sz w:val="28"/>
          <w:szCs w:val="28"/>
        </w:rPr>
        <w:t xml:space="preserve"> АО «Янтарьэнерго» о выполнении плана работы и результатов деятельности внутреннего аудита за 2015 год.</w:t>
      </w:r>
    </w:p>
    <w:p w:rsidR="000012C1" w:rsidRDefault="0088629E" w:rsidP="000012C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8537C" w:rsidRPr="00F54EE2" w:rsidRDefault="0028537C" w:rsidP="0028537C">
      <w:pPr>
        <w:ind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 xml:space="preserve">1. Принять к сведению Отчет Дирекции внутреннего аудита и контроля </w:t>
      </w:r>
      <w:r w:rsidRPr="00F54EE2">
        <w:rPr>
          <w:sz w:val="28"/>
          <w:szCs w:val="28"/>
        </w:rPr>
        <w:br/>
        <w:t>АО «Янтарьэнерго» о выполнении плана работы и результатах деятельности внутреннего аудита за 2015 год</w:t>
      </w:r>
      <w:r>
        <w:rPr>
          <w:sz w:val="28"/>
          <w:szCs w:val="28"/>
        </w:rPr>
        <w:t xml:space="preserve"> в соответствии с Приложением № 1 к настоящему решению Совета директоров</w:t>
      </w:r>
      <w:r w:rsidRPr="00F54EE2">
        <w:rPr>
          <w:sz w:val="28"/>
          <w:szCs w:val="28"/>
        </w:rPr>
        <w:t>.</w:t>
      </w:r>
    </w:p>
    <w:p w:rsidR="0028537C" w:rsidRPr="00F54EE2" w:rsidRDefault="0028537C" w:rsidP="0028537C">
      <w:pPr>
        <w:ind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2.Указать Внутреннему аудитору на необходимость повышения эффективности функции внутреннего аудита.</w:t>
      </w:r>
    </w:p>
    <w:p w:rsidR="0028537C" w:rsidRDefault="0028537C" w:rsidP="0028537C">
      <w:pPr>
        <w:ind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3. Поручить Единоличному исполнительному органу оказать содействие в реализации мер, направленных на повышение эффективности функции внутреннего аудита.</w:t>
      </w:r>
    </w:p>
    <w:p w:rsidR="00E82C92" w:rsidRPr="00F54EE2" w:rsidRDefault="00E82C92" w:rsidP="0028537C">
      <w:pPr>
        <w:ind w:firstLine="567"/>
        <w:jc w:val="both"/>
        <w:rPr>
          <w:sz w:val="28"/>
          <w:szCs w:val="28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EE5B74" w:rsidRDefault="00EA7386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E5B74" w:rsidRDefault="008F3B8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EA7386" w:rsidRPr="00EE5B7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E5B74" w:rsidRDefault="008F3B8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E5B74" w:rsidRPr="0088629E" w:rsidTr="00EE5B74">
        <w:trPr>
          <w:trHeight w:val="310"/>
        </w:trPr>
        <w:tc>
          <w:tcPr>
            <w:tcW w:w="4585" w:type="dxa"/>
          </w:tcPr>
          <w:p w:rsidR="00EE5B74" w:rsidRPr="00833212" w:rsidRDefault="00EE5B74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E5B74" w:rsidRPr="00833212" w:rsidRDefault="002156C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E5B74" w:rsidRPr="00833212" w:rsidRDefault="00833212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EE5B74" w:rsidRPr="00833212" w:rsidRDefault="00833212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8537C" w:rsidRPr="00C34C10" w:rsidRDefault="008E3BA0" w:rsidP="0028537C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28537C" w:rsidRPr="00C34C10">
        <w:rPr>
          <w:sz w:val="28"/>
          <w:szCs w:val="28"/>
        </w:rPr>
        <w:t xml:space="preserve">Отчет Единоличного исполнительного органа </w:t>
      </w:r>
      <w:r w:rsidR="0028537C">
        <w:rPr>
          <w:sz w:val="28"/>
          <w:szCs w:val="28"/>
        </w:rPr>
        <w:t xml:space="preserve">  </w:t>
      </w:r>
      <w:r w:rsidR="0028537C" w:rsidRPr="00C34C10">
        <w:rPr>
          <w:sz w:val="28"/>
          <w:szCs w:val="28"/>
        </w:rPr>
        <w:t>АО «Янтарьэнерго» об эффективности системы внутреннего контроля Общества за 2015 год.</w:t>
      </w:r>
    </w:p>
    <w:p w:rsidR="00E82C92" w:rsidRDefault="00E82C92" w:rsidP="00001A4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71B23" w:rsidRDefault="008E3BA0" w:rsidP="00001A4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8537C" w:rsidRPr="00F54EE2" w:rsidRDefault="0028537C" w:rsidP="0028537C">
      <w:pPr>
        <w:tabs>
          <w:tab w:val="left" w:pos="284"/>
          <w:tab w:val="left" w:pos="1134"/>
          <w:tab w:val="left" w:pos="7513"/>
        </w:tabs>
        <w:ind w:right="181"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1. Перенести рассмотрение данного вопроса на более поздний срок.</w:t>
      </w:r>
    </w:p>
    <w:p w:rsidR="0028537C" w:rsidRPr="00F54EE2" w:rsidRDefault="0028537C" w:rsidP="0028537C">
      <w:pPr>
        <w:tabs>
          <w:tab w:val="left" w:pos="284"/>
          <w:tab w:val="left" w:pos="1134"/>
          <w:tab w:val="left" w:pos="7513"/>
        </w:tabs>
        <w:ind w:right="181"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2. Поручить Генеральному директору Общества представить на очередное заседание Совета директоров Общества отчет Генерального директора</w:t>
      </w:r>
      <w:r w:rsidRPr="00F54EE2">
        <w:rPr>
          <w:sz w:val="28"/>
          <w:szCs w:val="28"/>
          <w:lang w:val="en-US"/>
        </w:rPr>
        <w:t> </w:t>
      </w:r>
      <w:r w:rsidRPr="00F54EE2">
        <w:rPr>
          <w:sz w:val="28"/>
          <w:szCs w:val="28"/>
        </w:rPr>
        <w:t xml:space="preserve">Общества об эффективности системы внутреннего контроля и системы управления рисками за 2015 год с предварительным рассмотрением данного вопроса на заседании </w:t>
      </w:r>
      <w:r w:rsidRPr="00F54EE2">
        <w:rPr>
          <w:bCs/>
          <w:sz w:val="28"/>
          <w:szCs w:val="28"/>
        </w:rPr>
        <w:t>Комитета по аудиту Совета директоров Общества.</w:t>
      </w:r>
    </w:p>
    <w:p w:rsidR="00E82C92" w:rsidRDefault="00E82C92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4B0514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767351" w:rsidRDefault="00084DBC" w:rsidP="00FC71B6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767351" w:rsidRDefault="008F3B8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767351" w:rsidRDefault="008F3B8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14EC" w:rsidRPr="0088629E" w:rsidTr="001014EC">
        <w:trPr>
          <w:trHeight w:val="310"/>
        </w:trPr>
        <w:tc>
          <w:tcPr>
            <w:tcW w:w="4585" w:type="dxa"/>
          </w:tcPr>
          <w:p w:rsidR="001014EC" w:rsidRPr="00833212" w:rsidRDefault="001014EC" w:rsidP="00FC71B6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1014EC" w:rsidRPr="00833212" w:rsidRDefault="004B006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14EC" w:rsidRPr="00833212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14EC" w:rsidRPr="00833212" w:rsidRDefault="004B006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8537C" w:rsidRPr="00C34C10" w:rsidRDefault="008E3BA0" w:rsidP="00E82C92">
      <w:pPr>
        <w:contextualSpacing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28537C" w:rsidRPr="00C34C10">
        <w:rPr>
          <w:sz w:val="28"/>
          <w:szCs w:val="28"/>
        </w:rPr>
        <w:t xml:space="preserve">О рассмотрении отчета Генерального директора </w:t>
      </w:r>
      <w:r w:rsidR="0028537C">
        <w:rPr>
          <w:sz w:val="28"/>
          <w:szCs w:val="28"/>
        </w:rPr>
        <w:t xml:space="preserve">  </w:t>
      </w:r>
      <w:r w:rsidR="0028537C" w:rsidRPr="00C34C10">
        <w:rPr>
          <w:sz w:val="28"/>
          <w:szCs w:val="28"/>
        </w:rPr>
        <w:t>АО 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года.</w:t>
      </w:r>
    </w:p>
    <w:p w:rsidR="00F3192E" w:rsidRDefault="008E3BA0" w:rsidP="00311553">
      <w:pPr>
        <w:ind w:right="-3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8537C" w:rsidRPr="00F54EE2" w:rsidRDefault="0028537C" w:rsidP="0028537C">
      <w:pPr>
        <w:pStyle w:val="25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F54EE2">
        <w:rPr>
          <w:color w:val="000000"/>
          <w:sz w:val="28"/>
          <w:szCs w:val="28"/>
          <w:lang w:bidi="ru-RU"/>
        </w:rPr>
        <w:t xml:space="preserve">Принять к сведению отчет Генерального директора </w:t>
      </w:r>
      <w:r w:rsidRPr="00F54EE2">
        <w:rPr>
          <w:color w:val="000000"/>
          <w:sz w:val="28"/>
          <w:szCs w:val="28"/>
          <w:lang w:bidi="ru-RU"/>
        </w:rPr>
        <w:br/>
        <w:t>АО 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</w:t>
      </w:r>
      <w:r w:rsidRPr="00F1433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№ 2 к настоящему решению Совета директоров</w:t>
      </w:r>
      <w:r w:rsidRPr="00F54EE2">
        <w:rPr>
          <w:color w:val="000000"/>
          <w:sz w:val="28"/>
          <w:szCs w:val="28"/>
          <w:lang w:bidi="ru-RU"/>
        </w:rPr>
        <w:t>.</w:t>
      </w:r>
    </w:p>
    <w:p w:rsidR="0028537C" w:rsidRPr="00F54EE2" w:rsidRDefault="0028537C" w:rsidP="0028537C">
      <w:pPr>
        <w:pStyle w:val="25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54EE2">
        <w:rPr>
          <w:color w:val="000000"/>
          <w:sz w:val="28"/>
          <w:szCs w:val="28"/>
          <w:lang w:bidi="ru-RU"/>
        </w:rPr>
        <w:t xml:space="preserve">Поручить Единоличному исполнительному органу </w:t>
      </w:r>
      <w:r w:rsidRPr="00F54EE2">
        <w:rPr>
          <w:color w:val="000000"/>
          <w:sz w:val="28"/>
          <w:szCs w:val="28"/>
          <w:lang w:bidi="ru-RU"/>
        </w:rPr>
        <w:br/>
        <w:t>АО «Янтарьэнерго»:</w:t>
      </w:r>
    </w:p>
    <w:p w:rsidR="0028537C" w:rsidRPr="00F54EE2" w:rsidRDefault="0028537C" w:rsidP="0028537C">
      <w:pPr>
        <w:pStyle w:val="25"/>
        <w:numPr>
          <w:ilvl w:val="0"/>
          <w:numId w:val="35"/>
        </w:numPr>
        <w:shd w:val="clear" w:color="auto" w:fill="auto"/>
        <w:tabs>
          <w:tab w:val="left" w:pos="1050"/>
        </w:tabs>
        <w:spacing w:line="240" w:lineRule="auto"/>
        <w:ind w:firstLine="709"/>
        <w:jc w:val="both"/>
        <w:rPr>
          <w:sz w:val="28"/>
          <w:szCs w:val="28"/>
        </w:rPr>
      </w:pPr>
      <w:r w:rsidRPr="00F54EE2">
        <w:rPr>
          <w:color w:val="000000"/>
          <w:sz w:val="28"/>
          <w:szCs w:val="28"/>
          <w:lang w:bidi="ru-RU"/>
        </w:rPr>
        <w:t>Обеспечить в полном объеме с положительным эффектом реализацию мероприятий, направленных на устранение нарушений и недостатков, выявленных Ревизионной комиссией Общества по итогам ревизионной проверки за 2014 год.</w:t>
      </w:r>
    </w:p>
    <w:p w:rsidR="0028537C" w:rsidRPr="00F54EE2" w:rsidRDefault="0028537C" w:rsidP="0028537C">
      <w:pPr>
        <w:pStyle w:val="25"/>
        <w:numPr>
          <w:ilvl w:val="0"/>
          <w:numId w:val="35"/>
        </w:numPr>
        <w:shd w:val="clear" w:color="auto" w:fill="auto"/>
        <w:tabs>
          <w:tab w:val="left" w:pos="1050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F54EE2">
        <w:rPr>
          <w:color w:val="000000"/>
          <w:sz w:val="28"/>
          <w:szCs w:val="28"/>
          <w:lang w:bidi="ru-RU"/>
        </w:rPr>
        <w:t xml:space="preserve">Принять исчерпывающие меры по замечаниям Ревизионной комиссии, изложенным в Акте Ревизионной комиссии по результатам мониторинга устранения нарушений и недостатков, исполнения рекомендаций Ревизионной комиссии, выявленных/выданных по итогам ревизионной проверки финансово-хозяйственной деятельности </w:t>
      </w:r>
      <w:r>
        <w:rPr>
          <w:color w:val="000000"/>
          <w:sz w:val="28"/>
          <w:szCs w:val="28"/>
          <w:lang w:bidi="ru-RU"/>
        </w:rPr>
        <w:t>А</w:t>
      </w:r>
      <w:r w:rsidRPr="00F54EE2">
        <w:rPr>
          <w:color w:val="000000"/>
          <w:sz w:val="28"/>
          <w:szCs w:val="28"/>
          <w:lang w:bidi="ru-RU"/>
        </w:rPr>
        <w:t>О «Янтарьэнерго» за 2014 год, связанным с отсутствием мер превентивного характера и системности в решении задачи повышения зрелости контрольной среды в Обществе.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C1193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  <w:tcBorders>
              <w:right w:val="single" w:sz="4" w:space="0" w:color="auto"/>
            </w:tcBorders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767351" w:rsidRDefault="00E62EF0" w:rsidP="007E58E3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767351" w:rsidRDefault="002B715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62EF0" w:rsidRPr="00767351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2B7153" w:rsidRDefault="002B715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C11937" w:rsidRPr="0088629E" w:rsidTr="00833212">
        <w:trPr>
          <w:trHeight w:val="310"/>
        </w:trPr>
        <w:tc>
          <w:tcPr>
            <w:tcW w:w="4585" w:type="dxa"/>
            <w:shd w:val="clear" w:color="auto" w:fill="auto"/>
          </w:tcPr>
          <w:p w:rsidR="00C11937" w:rsidRPr="00833212" w:rsidRDefault="00C11937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1937" w:rsidRPr="00833212" w:rsidRDefault="002156C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937" w:rsidRPr="00833212" w:rsidRDefault="00C1193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11937" w:rsidRPr="00833212" w:rsidRDefault="002156C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rPr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8537C" w:rsidRPr="00C34C10" w:rsidRDefault="008E3BA0" w:rsidP="0028537C">
      <w:pPr>
        <w:pStyle w:val="a7"/>
        <w:ind w:left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28537C" w:rsidRPr="00C34C10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</w:t>
      </w:r>
      <w:r w:rsidR="00352EA2">
        <w:rPr>
          <w:sz w:val="28"/>
          <w:szCs w:val="28"/>
        </w:rPr>
        <w:t>:</w:t>
      </w:r>
      <w:r w:rsidR="0028537C" w:rsidRPr="00C34C10">
        <w:rPr>
          <w:sz w:val="28"/>
          <w:szCs w:val="28"/>
        </w:rPr>
        <w:t xml:space="preserve"> «Об утверждении кредитного плана ОАО «Калининградская генерирующая компания» на 2 квартал 2016 года».</w:t>
      </w:r>
    </w:p>
    <w:p w:rsidR="00722CA7" w:rsidRDefault="008E3BA0" w:rsidP="00722CA7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</w:p>
    <w:p w:rsidR="0028537C" w:rsidRPr="00DB5834" w:rsidRDefault="0028537C" w:rsidP="00352EA2">
      <w:pPr>
        <w:ind w:firstLine="709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</w:t>
      </w:r>
      <w:r w:rsidR="00352EA2">
        <w:rPr>
          <w:rFonts w:eastAsia="Calibri"/>
          <w:sz w:val="28"/>
          <w:szCs w:val="28"/>
        </w:rPr>
        <w:t>:</w:t>
      </w:r>
      <w:r w:rsidRPr="00DB5834">
        <w:rPr>
          <w:rFonts w:eastAsia="Calibri"/>
          <w:sz w:val="28"/>
          <w:szCs w:val="28"/>
        </w:rPr>
        <w:t xml:space="preserve"> «Об утверждении кредитного плана ОАО «Калининградская генерирующая компания» на 2 квартал 2016 года», голосовать «ЗА» принятие следующего решения:</w:t>
      </w:r>
    </w:p>
    <w:p w:rsidR="0028537C" w:rsidRPr="00DB5834" w:rsidRDefault="0028537C" w:rsidP="00352EA2">
      <w:pPr>
        <w:pStyle w:val="a7"/>
        <w:ind w:left="0" w:firstLine="709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Утвердить кредитный план ОАО «Калининградская генерирующая компания» на 2 квартал 2016 года согласно </w:t>
      </w:r>
      <w:proofErr w:type="gramStart"/>
      <w:r w:rsidRPr="00DB5834">
        <w:rPr>
          <w:rFonts w:eastAsia="Calibri"/>
          <w:sz w:val="28"/>
          <w:szCs w:val="28"/>
        </w:rPr>
        <w:t>приложению</w:t>
      </w:r>
      <w:proofErr w:type="gramEnd"/>
      <w:r w:rsidRPr="00DB5834">
        <w:rPr>
          <w:rFonts w:eastAsia="Calibri"/>
          <w:sz w:val="28"/>
          <w:szCs w:val="28"/>
        </w:rPr>
        <w:t xml:space="preserve"> к настоящему решению.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C180D" w:rsidRDefault="00377F1E" w:rsidP="00F3192E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C180D" w:rsidRDefault="004B051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377F1E" w:rsidRPr="005C180D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5C180D" w:rsidRDefault="004B051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553196" w:rsidRDefault="00553196" w:rsidP="00F3192E">
            <w:pPr>
              <w:rPr>
                <w:color w:val="000000"/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553196" w:rsidRDefault="00833212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53196" w:rsidRPr="00553196" w:rsidRDefault="00C642C5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553196" w:rsidRDefault="00833212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28537C" w:rsidRPr="00C34C10" w:rsidRDefault="008E3BA0" w:rsidP="0028537C">
      <w:pPr>
        <w:pStyle w:val="a7"/>
        <w:ind w:left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AD5C34" w:rsidRPr="00AD5C34">
        <w:rPr>
          <w:color w:val="000000"/>
          <w:sz w:val="28"/>
          <w:szCs w:val="28"/>
        </w:rPr>
        <w:t xml:space="preserve"> </w:t>
      </w:r>
      <w:r w:rsidR="0028537C" w:rsidRPr="00C34C10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2 квартал 2016 года.</w:t>
      </w:r>
    </w:p>
    <w:p w:rsidR="00352EA2" w:rsidRDefault="00352EA2" w:rsidP="0083557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D5C34" w:rsidRDefault="008E3BA0" w:rsidP="0083557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8537C" w:rsidRPr="00C268B5" w:rsidRDefault="0028537C" w:rsidP="0028537C">
      <w:pPr>
        <w:ind w:firstLine="709"/>
        <w:jc w:val="both"/>
        <w:rPr>
          <w:sz w:val="28"/>
          <w:szCs w:val="28"/>
        </w:rPr>
      </w:pPr>
      <w:r w:rsidRPr="00C268B5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 «Янтарьэнергосбыт» «Об утверждении кредитного плана ОАО «Янтарьэнергосбыт» на 2 квартал 2016 года», голосовать «ЗА» принятие следующего решения:</w:t>
      </w:r>
    </w:p>
    <w:p w:rsidR="0028537C" w:rsidRPr="00C268B5" w:rsidRDefault="0028537C" w:rsidP="0028537C">
      <w:pPr>
        <w:pStyle w:val="a7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268B5">
        <w:rPr>
          <w:sz w:val="28"/>
          <w:szCs w:val="28"/>
        </w:rPr>
        <w:t xml:space="preserve">Утвердить кредитный план ОАО «Янтарьэнергосбыт» на 2 квартал 2016 года согласно </w:t>
      </w:r>
      <w:proofErr w:type="gramStart"/>
      <w:r w:rsidRPr="00C268B5">
        <w:rPr>
          <w:sz w:val="28"/>
          <w:szCs w:val="28"/>
        </w:rPr>
        <w:t>приложению</w:t>
      </w:r>
      <w:proofErr w:type="gramEnd"/>
      <w:r w:rsidRPr="00C268B5">
        <w:rPr>
          <w:sz w:val="28"/>
          <w:szCs w:val="28"/>
        </w:rPr>
        <w:t xml:space="preserve"> к настоящему решению.</w:t>
      </w:r>
    </w:p>
    <w:p w:rsidR="0028537C" w:rsidRPr="00C268B5" w:rsidRDefault="0028537C" w:rsidP="0028537C">
      <w:pPr>
        <w:pStyle w:val="a7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268B5">
        <w:rPr>
          <w:sz w:val="28"/>
          <w:szCs w:val="28"/>
        </w:rPr>
        <w:t>Отметить неисполнение кредитного плана Общества на 1 квартал 2016 года, утвержденного Советом директоров Общества в части превышения объема задолженности по кредитам и займам на 31.03.2016.</w:t>
      </w:r>
    </w:p>
    <w:p w:rsidR="0028537C" w:rsidRPr="00C268B5" w:rsidRDefault="0028537C" w:rsidP="0028537C">
      <w:pPr>
        <w:pStyle w:val="a7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268B5">
        <w:rPr>
          <w:sz w:val="28"/>
          <w:szCs w:val="28"/>
        </w:rPr>
        <w:t>Отметить неисполнение бизнес-плана Общества, утвержденного Советом директоров Общества в части превышения объема задолженности по кредитам и займам на 31.03.2016.</w:t>
      </w:r>
    </w:p>
    <w:p w:rsidR="0028537C" w:rsidRPr="0064634B" w:rsidRDefault="0028537C" w:rsidP="00835578">
      <w:pPr>
        <w:jc w:val="both"/>
        <w:rPr>
          <w:sz w:val="28"/>
          <w:szCs w:val="28"/>
        </w:rPr>
      </w:pP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B4649" w:rsidRDefault="002B4649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</w:p>
    <w:p w:rsidR="00464051" w:rsidRPr="00E62EF0" w:rsidRDefault="00464051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4051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4051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C180D" w:rsidRDefault="00464051" w:rsidP="00FC71B6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833212" w:rsidRDefault="00553196" w:rsidP="00FC71B6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833212" w:rsidRDefault="00833212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53196" w:rsidRPr="00833212" w:rsidRDefault="0055319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755B3B" w:rsidRDefault="00833212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4051" w:rsidRPr="00E62EF0" w:rsidRDefault="00464051" w:rsidP="004640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Pr="00882A76" w:rsidRDefault="008E3BA0" w:rsidP="000012C1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481A0F" w:rsidRPr="00C34C10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</w:t>
      </w:r>
      <w:r w:rsidR="00352EA2">
        <w:rPr>
          <w:sz w:val="28"/>
          <w:szCs w:val="28"/>
        </w:rPr>
        <w:t>:</w:t>
      </w:r>
      <w:r w:rsidR="00481A0F" w:rsidRPr="00C34C10">
        <w:rPr>
          <w:sz w:val="28"/>
          <w:szCs w:val="28"/>
        </w:rPr>
        <w:t xml:space="preserve"> «О рассмотрении отчета генерального директора ОАО «Калининградская генерирующая компания» о кредитной политике за 4 квартал 2015 года».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</w:t>
      </w:r>
      <w:r w:rsidR="00352EA2">
        <w:rPr>
          <w:rFonts w:eastAsia="Calibri"/>
          <w:sz w:val="28"/>
          <w:szCs w:val="28"/>
        </w:rPr>
        <w:t>:</w:t>
      </w:r>
      <w:r w:rsidRPr="00DB5834">
        <w:rPr>
          <w:rFonts w:eastAsia="Calibri"/>
          <w:sz w:val="28"/>
          <w:szCs w:val="28"/>
        </w:rPr>
        <w:t xml:space="preserve"> «О рассмотрении отчета генерального директора ОАО «Калининградская генерирующая компания» о кредитной политике за 4 квартал 2015 года», голосовать «ЗА» принятие следующего решения: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Принять к сведению отчет о кредитной политике ОАО «Калининградская генерирующая компания» за 4 квартал 2015 года согласно </w:t>
      </w:r>
      <w:proofErr w:type="gramStart"/>
      <w:r w:rsidRPr="00DB5834">
        <w:rPr>
          <w:rFonts w:eastAsia="Calibri"/>
          <w:sz w:val="28"/>
          <w:szCs w:val="28"/>
        </w:rPr>
        <w:t>приложению</w:t>
      </w:r>
      <w:proofErr w:type="gramEnd"/>
      <w:r w:rsidRPr="00DB5834">
        <w:rPr>
          <w:rFonts w:eastAsia="Calibri"/>
          <w:sz w:val="28"/>
          <w:szCs w:val="28"/>
        </w:rPr>
        <w:t xml:space="preserve"> к настоящему решению.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4D291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  <w:tcBorders>
              <w:right w:val="single" w:sz="4" w:space="0" w:color="auto"/>
            </w:tcBorders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5C180D" w:rsidRDefault="008E3BA0" w:rsidP="007E58E3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5C180D" w:rsidRDefault="00755B3B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8E3BA0" w:rsidRPr="005C180D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5C180D" w:rsidRDefault="00755B3B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D2916" w:rsidRPr="0088629E" w:rsidTr="004D2916">
        <w:trPr>
          <w:trHeight w:val="310"/>
        </w:trPr>
        <w:tc>
          <w:tcPr>
            <w:tcW w:w="4585" w:type="dxa"/>
          </w:tcPr>
          <w:p w:rsidR="004D2916" w:rsidRPr="00833212" w:rsidRDefault="004D2916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D2916" w:rsidRPr="00833212" w:rsidRDefault="00833212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D2916" w:rsidRPr="00833212" w:rsidRDefault="0029446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D2916" w:rsidRPr="00755B3B" w:rsidRDefault="00833212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rPr>
                <w:sz w:val="24"/>
                <w:szCs w:val="24"/>
              </w:rPr>
            </w:pPr>
            <w:r w:rsidRPr="004D291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81A0F" w:rsidRPr="005D2EE4" w:rsidRDefault="009A2238" w:rsidP="00481A0F">
      <w:pPr>
        <w:pStyle w:val="a7"/>
        <w:ind w:left="0"/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481A0F" w:rsidRPr="00C34C10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</w:t>
      </w:r>
      <w:r w:rsidR="00352EA2">
        <w:rPr>
          <w:sz w:val="28"/>
          <w:szCs w:val="28"/>
        </w:rPr>
        <w:t>:</w:t>
      </w:r>
      <w:r w:rsidR="00481A0F" w:rsidRPr="00C34C10">
        <w:rPr>
          <w:sz w:val="28"/>
          <w:szCs w:val="28"/>
        </w:rPr>
        <w:t xml:space="preserve"> «О рассмотрении отчета генерального директора ОАО «Янтарьэнергосбыт» о кредитной политике за 4 квартал 2015 года».</w:t>
      </w:r>
    </w:p>
    <w:p w:rsidR="00835578" w:rsidRDefault="009A2238" w:rsidP="009A223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</w:t>
      </w:r>
      <w:r w:rsidR="00352EA2">
        <w:rPr>
          <w:rFonts w:eastAsia="Calibri"/>
          <w:sz w:val="28"/>
          <w:szCs w:val="28"/>
        </w:rPr>
        <w:t>:</w:t>
      </w:r>
      <w:r w:rsidRPr="00DB5834">
        <w:rPr>
          <w:rFonts w:eastAsia="Calibri"/>
          <w:sz w:val="28"/>
          <w:szCs w:val="28"/>
        </w:rPr>
        <w:t xml:space="preserve"> «О рассмотрении отчета генерального </w:t>
      </w:r>
      <w:r w:rsidRPr="00DB5834">
        <w:rPr>
          <w:rFonts w:eastAsia="Calibri"/>
          <w:sz w:val="28"/>
          <w:szCs w:val="28"/>
        </w:rPr>
        <w:lastRenderedPageBreak/>
        <w:t>директора ОАО «Янтарьэнергосбыт» о кредитной политике за 4 квартал 2015 года», голосовать «ЗА» принятие следующего решения: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Принять к сведению отчет о кредитной политике ОАО «Янтарьэнергосбыт» за 4 квартал 2015 года согласно </w:t>
      </w:r>
      <w:proofErr w:type="gramStart"/>
      <w:r w:rsidRPr="00DB5834">
        <w:rPr>
          <w:rFonts w:eastAsia="Calibri"/>
          <w:sz w:val="28"/>
          <w:szCs w:val="28"/>
        </w:rPr>
        <w:t>приложению</w:t>
      </w:r>
      <w:proofErr w:type="gramEnd"/>
      <w:r w:rsidRPr="00DB5834">
        <w:rPr>
          <w:rFonts w:eastAsia="Calibri"/>
          <w:sz w:val="28"/>
          <w:szCs w:val="28"/>
        </w:rPr>
        <w:t xml:space="preserve"> к настоящему решению.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Отметить превышение значения максимально допустимого лимита </w:t>
      </w:r>
      <w:r w:rsidRPr="00DB5834">
        <w:rPr>
          <w:rFonts w:eastAsia="Calibri"/>
          <w:sz w:val="28"/>
          <w:szCs w:val="28"/>
        </w:rPr>
        <w:br/>
        <w:t>по структуре пассивов.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F15913" w:rsidRDefault="009A2238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F15913" w:rsidRDefault="008D103E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A2238" w:rsidRPr="00F15913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F15913" w:rsidRDefault="008D103E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1CBF" w:rsidRPr="0088629E" w:rsidTr="00221CBF">
        <w:trPr>
          <w:trHeight w:val="310"/>
        </w:trPr>
        <w:tc>
          <w:tcPr>
            <w:tcW w:w="4585" w:type="dxa"/>
          </w:tcPr>
          <w:p w:rsidR="00221CBF" w:rsidRPr="00833212" w:rsidRDefault="00221CBF" w:rsidP="00001A4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221CBF" w:rsidRPr="00833212" w:rsidRDefault="00833212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221CBF" w:rsidRPr="00833212" w:rsidRDefault="00833212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21CBF" w:rsidRPr="00221CBF" w:rsidRDefault="00833212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D5445" w:rsidRDefault="00AD5445" w:rsidP="00AD544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D5445" w:rsidRPr="00AC27F3" w:rsidRDefault="00AD5445" w:rsidP="00AD544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481A0F" w:rsidRPr="00C34C10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</w:t>
      </w:r>
      <w:proofErr w:type="gramStart"/>
      <w:r w:rsidR="00481A0F" w:rsidRPr="00C34C10">
        <w:rPr>
          <w:sz w:val="28"/>
          <w:szCs w:val="28"/>
        </w:rPr>
        <w:t xml:space="preserve">директоров </w:t>
      </w:r>
      <w:r w:rsidR="00481A0F">
        <w:rPr>
          <w:sz w:val="28"/>
          <w:szCs w:val="28"/>
        </w:rPr>
        <w:t xml:space="preserve"> </w:t>
      </w:r>
      <w:r w:rsidR="00481A0F" w:rsidRPr="00C34C10">
        <w:rPr>
          <w:sz w:val="28"/>
          <w:szCs w:val="28"/>
        </w:rPr>
        <w:t>ОАО</w:t>
      </w:r>
      <w:proofErr w:type="gramEnd"/>
      <w:r w:rsidR="00481A0F" w:rsidRPr="00C34C10">
        <w:rPr>
          <w:sz w:val="28"/>
          <w:szCs w:val="28"/>
        </w:rPr>
        <w:t xml:space="preserve"> «Янтарьэнергосбыт»</w:t>
      </w:r>
      <w:r w:rsidR="00352EA2">
        <w:rPr>
          <w:sz w:val="28"/>
          <w:szCs w:val="28"/>
        </w:rPr>
        <w:t>:</w:t>
      </w:r>
      <w:r w:rsidR="00481A0F" w:rsidRPr="00C34C10">
        <w:rPr>
          <w:sz w:val="28"/>
          <w:szCs w:val="28"/>
        </w:rPr>
        <w:t xml:space="preserve"> «Об утверждении отчета о выполнении целевых значений ключевых показателей эффективности (КПЭ) за 4 квартал и 2015 год.  </w:t>
      </w:r>
    </w:p>
    <w:p w:rsidR="00AD5445" w:rsidRDefault="00AD5445" w:rsidP="00AD544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481A0F" w:rsidRPr="000113EB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0113EB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</w:t>
      </w:r>
      <w:r w:rsidR="00352EA2">
        <w:rPr>
          <w:rFonts w:eastAsia="Calibri"/>
          <w:sz w:val="28"/>
          <w:szCs w:val="28"/>
        </w:rPr>
        <w:t xml:space="preserve">                                 </w:t>
      </w:r>
      <w:r w:rsidRPr="000113EB">
        <w:rPr>
          <w:rFonts w:eastAsia="Calibri"/>
          <w:sz w:val="28"/>
          <w:szCs w:val="28"/>
        </w:rPr>
        <w:t>АО «Янтарьэнерго</w:t>
      </w:r>
      <w:r>
        <w:rPr>
          <w:rFonts w:eastAsia="Calibri"/>
          <w:sz w:val="28"/>
          <w:szCs w:val="28"/>
        </w:rPr>
        <w:t>сбыт</w:t>
      </w:r>
      <w:r w:rsidRPr="000113EB">
        <w:rPr>
          <w:rFonts w:eastAsia="Calibri"/>
          <w:sz w:val="28"/>
          <w:szCs w:val="28"/>
        </w:rPr>
        <w:t xml:space="preserve">» голосовать «за» принятие следующего решения: </w:t>
      </w:r>
    </w:p>
    <w:p w:rsidR="00481A0F" w:rsidRPr="000113EB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0113EB">
        <w:rPr>
          <w:rFonts w:eastAsia="Calibri"/>
          <w:sz w:val="28"/>
          <w:szCs w:val="28"/>
        </w:rPr>
        <w:t xml:space="preserve">Утвердить отчет генерального директора ОАО «Янтарьэнергосбыт» </w:t>
      </w:r>
      <w:r w:rsidRPr="000113EB">
        <w:rPr>
          <w:rFonts w:eastAsia="Calibri"/>
          <w:sz w:val="28"/>
          <w:szCs w:val="28"/>
        </w:rPr>
        <w:br/>
        <w:t>об исполнении целевых значений КПЭ Общества за 4 квартал 2015 года и 2015 год.</w:t>
      </w:r>
    </w:p>
    <w:p w:rsidR="00AD5445" w:rsidRPr="0088629E" w:rsidRDefault="00AD5445" w:rsidP="00AD544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AD5445" w:rsidRPr="0088629E" w:rsidTr="0063087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D5445" w:rsidRPr="0088629E" w:rsidTr="0063087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D5445" w:rsidRPr="003577BC" w:rsidRDefault="00AD5445" w:rsidP="0063087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  <w:tcBorders>
              <w:right w:val="single" w:sz="4" w:space="0" w:color="auto"/>
            </w:tcBorders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F15913" w:rsidRDefault="00AD5445" w:rsidP="00630874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B79E7" w:rsidRPr="0088629E" w:rsidTr="004B79E7">
        <w:trPr>
          <w:trHeight w:val="310"/>
        </w:trPr>
        <w:tc>
          <w:tcPr>
            <w:tcW w:w="4585" w:type="dxa"/>
          </w:tcPr>
          <w:p w:rsidR="004B79E7" w:rsidRPr="00833212" w:rsidRDefault="004B79E7" w:rsidP="00630874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B79E7" w:rsidRPr="00833212" w:rsidRDefault="00833212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B79E7" w:rsidRPr="00833212" w:rsidRDefault="00833212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33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B79E7" w:rsidRPr="004B79E7" w:rsidRDefault="00833212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D5445" w:rsidRDefault="00AD5445" w:rsidP="00AD544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0012C1" w:rsidRDefault="003037EC" w:rsidP="000012C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8537C" w:rsidRPr="00F54EE2" w:rsidRDefault="0028537C" w:rsidP="0028537C">
      <w:pPr>
        <w:ind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 xml:space="preserve">1. Принять к сведению Отчет Дирекции внутреннего аудита и контроля </w:t>
      </w:r>
      <w:r w:rsidRPr="00F54EE2">
        <w:rPr>
          <w:sz w:val="28"/>
          <w:szCs w:val="28"/>
        </w:rPr>
        <w:br/>
        <w:t xml:space="preserve">АО «Янтарьэнерго» о выполнении плана работы и результатах деятельности </w:t>
      </w:r>
      <w:r w:rsidRPr="00F54EE2">
        <w:rPr>
          <w:sz w:val="28"/>
          <w:szCs w:val="28"/>
        </w:rPr>
        <w:lastRenderedPageBreak/>
        <w:t>внутреннего аудита за 2015 год</w:t>
      </w:r>
      <w:r>
        <w:rPr>
          <w:sz w:val="28"/>
          <w:szCs w:val="28"/>
        </w:rPr>
        <w:t xml:space="preserve"> в соответствии с Приложением № 1 к настоящему решению Совета директоров</w:t>
      </w:r>
      <w:r w:rsidRPr="00F54EE2">
        <w:rPr>
          <w:sz w:val="28"/>
          <w:szCs w:val="28"/>
        </w:rPr>
        <w:t>.</w:t>
      </w:r>
    </w:p>
    <w:p w:rsidR="0028537C" w:rsidRPr="00F54EE2" w:rsidRDefault="0028537C" w:rsidP="0028537C">
      <w:pPr>
        <w:ind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2.Указать Внутреннему аудитору на необходимость повышения эффективности функции внутреннего аудита.</w:t>
      </w:r>
    </w:p>
    <w:p w:rsidR="0028537C" w:rsidRPr="00F54EE2" w:rsidRDefault="0028537C" w:rsidP="0028537C">
      <w:pPr>
        <w:ind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3. Поручить Единоличному исполнительному органу оказать содействие в реализации мер, направленных на повышение эффективности функции внутреннего аудита.</w:t>
      </w:r>
    </w:p>
    <w:p w:rsidR="00F2425F" w:rsidRDefault="00F2425F" w:rsidP="00F2425F">
      <w:pPr>
        <w:tabs>
          <w:tab w:val="left" w:pos="284"/>
          <w:tab w:val="left" w:pos="1134"/>
          <w:tab w:val="left" w:pos="7513"/>
        </w:tabs>
        <w:ind w:right="181"/>
        <w:jc w:val="both"/>
        <w:rPr>
          <w:sz w:val="28"/>
          <w:szCs w:val="28"/>
        </w:rPr>
      </w:pPr>
    </w:p>
    <w:p w:rsidR="0028537C" w:rsidRDefault="001B0B5C" w:rsidP="00F2425F">
      <w:pPr>
        <w:tabs>
          <w:tab w:val="left" w:pos="284"/>
          <w:tab w:val="left" w:pos="1134"/>
          <w:tab w:val="left" w:pos="7513"/>
        </w:tabs>
        <w:ind w:right="181"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8537C" w:rsidRPr="00F54EE2" w:rsidRDefault="0028537C" w:rsidP="0028537C">
      <w:pPr>
        <w:tabs>
          <w:tab w:val="left" w:pos="284"/>
          <w:tab w:val="left" w:pos="1134"/>
          <w:tab w:val="left" w:pos="7513"/>
        </w:tabs>
        <w:ind w:right="181"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1. Перенести рассмотрение данного вопроса на более поздний срок.</w:t>
      </w:r>
    </w:p>
    <w:p w:rsidR="0028537C" w:rsidRPr="00F54EE2" w:rsidRDefault="0028537C" w:rsidP="0028537C">
      <w:pPr>
        <w:tabs>
          <w:tab w:val="left" w:pos="284"/>
          <w:tab w:val="left" w:pos="1134"/>
          <w:tab w:val="left" w:pos="7513"/>
        </w:tabs>
        <w:ind w:right="181" w:firstLine="567"/>
        <w:jc w:val="both"/>
        <w:rPr>
          <w:sz w:val="28"/>
          <w:szCs w:val="28"/>
        </w:rPr>
      </w:pPr>
      <w:r w:rsidRPr="00F54EE2">
        <w:rPr>
          <w:sz w:val="28"/>
          <w:szCs w:val="28"/>
        </w:rPr>
        <w:t>2. Поручить Генеральному директору Общества представить на очередное заседание Совета директоров Общества отчет Генерального директора</w:t>
      </w:r>
      <w:r w:rsidRPr="00F54EE2">
        <w:rPr>
          <w:sz w:val="28"/>
          <w:szCs w:val="28"/>
          <w:lang w:val="en-US"/>
        </w:rPr>
        <w:t> </w:t>
      </w:r>
      <w:r w:rsidRPr="00F54EE2">
        <w:rPr>
          <w:sz w:val="28"/>
          <w:szCs w:val="28"/>
        </w:rPr>
        <w:t xml:space="preserve">Общества об эффективности системы внутреннего контроля и системы управления рисками за 2015 год с предварительным рассмотрением данного вопроса на заседании </w:t>
      </w:r>
      <w:r w:rsidRPr="00F54EE2">
        <w:rPr>
          <w:bCs/>
          <w:sz w:val="28"/>
          <w:szCs w:val="28"/>
        </w:rPr>
        <w:t>Комитета по аудиту Совета директоров Общества.</w:t>
      </w:r>
    </w:p>
    <w:p w:rsidR="00E876E8" w:rsidRDefault="00E876E8" w:rsidP="00001A43">
      <w:pPr>
        <w:jc w:val="both"/>
        <w:rPr>
          <w:rFonts w:eastAsiaTheme="minorHAnsi"/>
          <w:sz w:val="28"/>
          <w:szCs w:val="28"/>
          <w:lang w:eastAsia="en-US"/>
        </w:rPr>
      </w:pPr>
    </w:p>
    <w:p w:rsidR="00F3192E" w:rsidRDefault="001B0B5C" w:rsidP="0084788D">
      <w:pPr>
        <w:ind w:right="-30"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8537C" w:rsidRPr="00F54EE2" w:rsidRDefault="0028537C" w:rsidP="00F2425F">
      <w:pPr>
        <w:pStyle w:val="25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F54EE2">
        <w:rPr>
          <w:color w:val="000000"/>
          <w:sz w:val="28"/>
          <w:szCs w:val="28"/>
          <w:lang w:bidi="ru-RU"/>
        </w:rPr>
        <w:t xml:space="preserve">Принять к сведению отчет Генерального директора </w:t>
      </w:r>
      <w:r w:rsidRPr="00F54EE2">
        <w:rPr>
          <w:color w:val="000000"/>
          <w:sz w:val="28"/>
          <w:szCs w:val="28"/>
          <w:lang w:bidi="ru-RU"/>
        </w:rPr>
        <w:br/>
        <w:t>АО 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</w:t>
      </w:r>
      <w:r w:rsidRPr="00F1433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№ 2 к настоящему решению Совета директоров</w:t>
      </w:r>
      <w:r w:rsidRPr="00F54EE2">
        <w:rPr>
          <w:color w:val="000000"/>
          <w:sz w:val="28"/>
          <w:szCs w:val="28"/>
          <w:lang w:bidi="ru-RU"/>
        </w:rPr>
        <w:t>.</w:t>
      </w:r>
    </w:p>
    <w:p w:rsidR="0028537C" w:rsidRPr="00F54EE2" w:rsidRDefault="0028537C" w:rsidP="00F2425F">
      <w:pPr>
        <w:pStyle w:val="25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F54EE2">
        <w:rPr>
          <w:color w:val="000000"/>
          <w:sz w:val="28"/>
          <w:szCs w:val="28"/>
          <w:lang w:bidi="ru-RU"/>
        </w:rPr>
        <w:t>Поручить Единоличному исполнительному органу АО «Янтарьэнерго»:</w:t>
      </w:r>
    </w:p>
    <w:p w:rsidR="0028537C" w:rsidRPr="00F54EE2" w:rsidRDefault="0028537C" w:rsidP="0028537C">
      <w:pPr>
        <w:pStyle w:val="25"/>
        <w:numPr>
          <w:ilvl w:val="0"/>
          <w:numId w:val="35"/>
        </w:numPr>
        <w:shd w:val="clear" w:color="auto" w:fill="auto"/>
        <w:tabs>
          <w:tab w:val="left" w:pos="1050"/>
        </w:tabs>
        <w:spacing w:line="240" w:lineRule="auto"/>
        <w:ind w:firstLine="709"/>
        <w:jc w:val="both"/>
        <w:rPr>
          <w:sz w:val="28"/>
          <w:szCs w:val="28"/>
        </w:rPr>
      </w:pPr>
      <w:r w:rsidRPr="00F54EE2">
        <w:rPr>
          <w:color w:val="000000"/>
          <w:sz w:val="28"/>
          <w:szCs w:val="28"/>
          <w:lang w:bidi="ru-RU"/>
        </w:rPr>
        <w:t>Обеспечить в полном объеме с положительным эффектом реализацию мероприятий, направленных на устранение нарушений и недостатков, выявленных Ревизионной комиссией Общества по итогам ревизионной проверки за 2014 год.</w:t>
      </w:r>
    </w:p>
    <w:p w:rsidR="0028537C" w:rsidRPr="00F54EE2" w:rsidRDefault="0028537C" w:rsidP="0028537C">
      <w:pPr>
        <w:pStyle w:val="25"/>
        <w:numPr>
          <w:ilvl w:val="0"/>
          <w:numId w:val="35"/>
        </w:numPr>
        <w:shd w:val="clear" w:color="auto" w:fill="auto"/>
        <w:tabs>
          <w:tab w:val="left" w:pos="1050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F54EE2">
        <w:rPr>
          <w:color w:val="000000"/>
          <w:sz w:val="28"/>
          <w:szCs w:val="28"/>
          <w:lang w:bidi="ru-RU"/>
        </w:rPr>
        <w:t xml:space="preserve">Принять исчерпывающие меры по замечаниям Ревизионной комиссии, изложенным в Акте Ревизионной комиссии по результатам мониторинга устранения нарушений и недостатков, исполнения рекомендаций Ревизионной комиссии, выявленных/выданных по итогам ревизионной проверки финансово-хозяйственной деятельности </w:t>
      </w:r>
      <w:r>
        <w:rPr>
          <w:color w:val="000000"/>
          <w:sz w:val="28"/>
          <w:szCs w:val="28"/>
          <w:lang w:bidi="ru-RU"/>
        </w:rPr>
        <w:t xml:space="preserve">                              А</w:t>
      </w:r>
      <w:r w:rsidRPr="00F54EE2">
        <w:rPr>
          <w:color w:val="000000"/>
          <w:sz w:val="28"/>
          <w:szCs w:val="28"/>
          <w:lang w:bidi="ru-RU"/>
        </w:rPr>
        <w:t>О «Янтарьэнерго» за 2014 год, связанным с отсутствием мер превентивного характера и системности в решении задачи повышения зрелости контрольной среды в Обществе.</w:t>
      </w:r>
    </w:p>
    <w:p w:rsidR="0028537C" w:rsidRDefault="0028537C" w:rsidP="0084788D">
      <w:pPr>
        <w:ind w:right="-30"/>
        <w:jc w:val="both"/>
        <w:rPr>
          <w:rFonts w:eastAsiaTheme="minorHAnsi"/>
          <w:sz w:val="28"/>
          <w:szCs w:val="28"/>
          <w:lang w:eastAsia="en-US"/>
        </w:rPr>
      </w:pPr>
    </w:p>
    <w:p w:rsidR="00722CA7" w:rsidRDefault="007B72DF" w:rsidP="00722CA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8537C" w:rsidRPr="00DB5834" w:rsidRDefault="0028537C" w:rsidP="00980405">
      <w:pPr>
        <w:spacing w:after="120"/>
        <w:ind w:firstLine="709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</w:t>
      </w:r>
      <w:r w:rsidR="00980405">
        <w:rPr>
          <w:rFonts w:eastAsia="Calibri"/>
          <w:sz w:val="28"/>
          <w:szCs w:val="28"/>
        </w:rPr>
        <w:t>:</w:t>
      </w:r>
      <w:r w:rsidRPr="00DB5834">
        <w:rPr>
          <w:rFonts w:eastAsia="Calibri"/>
          <w:sz w:val="28"/>
          <w:szCs w:val="28"/>
        </w:rPr>
        <w:t xml:space="preserve"> «Об утверждении кредитного плана ОАО «Калининградская генерирующая компания» на 2 квартал 2016 года», голосовать «ЗА» принятие следующего решения:</w:t>
      </w:r>
    </w:p>
    <w:p w:rsidR="0028537C" w:rsidRPr="00DB5834" w:rsidRDefault="0028537C" w:rsidP="00980405">
      <w:pPr>
        <w:pStyle w:val="a7"/>
        <w:ind w:left="0" w:firstLine="709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Утвердить кредитный план ОАО «Калининградская генерирующая компания» на 2 квартал 2016 года согласно </w:t>
      </w:r>
      <w:proofErr w:type="gramStart"/>
      <w:r w:rsidRPr="00DB5834">
        <w:rPr>
          <w:rFonts w:eastAsia="Calibri"/>
          <w:sz w:val="28"/>
          <w:szCs w:val="28"/>
        </w:rPr>
        <w:t>приложению</w:t>
      </w:r>
      <w:proofErr w:type="gramEnd"/>
      <w:r w:rsidRPr="00DB5834">
        <w:rPr>
          <w:rFonts w:eastAsia="Calibri"/>
          <w:sz w:val="28"/>
          <w:szCs w:val="28"/>
        </w:rPr>
        <w:t xml:space="preserve"> к настоящему решению.</w:t>
      </w:r>
    </w:p>
    <w:p w:rsidR="0028537C" w:rsidRPr="00456DC8" w:rsidRDefault="0028537C" w:rsidP="00722CA7">
      <w:pPr>
        <w:jc w:val="both"/>
        <w:rPr>
          <w:sz w:val="28"/>
          <w:szCs w:val="28"/>
        </w:rPr>
      </w:pPr>
    </w:p>
    <w:p w:rsidR="00EB1071" w:rsidRDefault="00EB1071" w:rsidP="00395CF9">
      <w:pPr>
        <w:widowControl w:val="0"/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8537C" w:rsidRPr="00C268B5" w:rsidRDefault="0028537C" w:rsidP="0028537C">
      <w:pPr>
        <w:ind w:firstLine="709"/>
        <w:jc w:val="both"/>
        <w:rPr>
          <w:sz w:val="28"/>
          <w:szCs w:val="28"/>
        </w:rPr>
      </w:pPr>
      <w:r w:rsidRPr="00C268B5">
        <w:rPr>
          <w:sz w:val="28"/>
          <w:szCs w:val="28"/>
        </w:rPr>
        <w:lastRenderedPageBreak/>
        <w:t>Поручить представителям АО «Янтарьэнерго» по вопросу повестки дня заседания Совета директоров ОАО «Янтарьэнергосбыт» «Об утверждении кредитного плана ОАО «Янтарьэнергосбыт» на 2 квартал 2016 года», голосовать «ЗА» принятие следующего решения:</w:t>
      </w:r>
    </w:p>
    <w:p w:rsidR="0028537C" w:rsidRPr="00C268B5" w:rsidRDefault="0028537C" w:rsidP="0028537C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C268B5">
        <w:rPr>
          <w:sz w:val="28"/>
          <w:szCs w:val="28"/>
        </w:rPr>
        <w:t xml:space="preserve">Утвердить кредитный план ОАО «Янтарьэнергосбыт» на 2 квартал 2016 года согласно </w:t>
      </w:r>
      <w:proofErr w:type="gramStart"/>
      <w:r w:rsidRPr="00C268B5">
        <w:rPr>
          <w:sz w:val="28"/>
          <w:szCs w:val="28"/>
        </w:rPr>
        <w:t>приложению</w:t>
      </w:r>
      <w:proofErr w:type="gramEnd"/>
      <w:r w:rsidRPr="00C268B5">
        <w:rPr>
          <w:sz w:val="28"/>
          <w:szCs w:val="28"/>
        </w:rPr>
        <w:t xml:space="preserve"> к настоящему решению.</w:t>
      </w:r>
    </w:p>
    <w:p w:rsidR="0028537C" w:rsidRPr="00C268B5" w:rsidRDefault="0028537C" w:rsidP="0028537C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C268B5">
        <w:rPr>
          <w:sz w:val="28"/>
          <w:szCs w:val="28"/>
        </w:rPr>
        <w:t>Отметить неисполнение кредитного плана Общества на 1 квартал 2016 года, утвержденного Советом директоров Общества в части превышения объема задолженности по кредитам и займам на 31.03.2016.</w:t>
      </w:r>
    </w:p>
    <w:p w:rsidR="0028537C" w:rsidRPr="00C268B5" w:rsidRDefault="0028537C" w:rsidP="0028537C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C268B5">
        <w:rPr>
          <w:sz w:val="28"/>
          <w:szCs w:val="28"/>
        </w:rPr>
        <w:t>Отметить неисполнение бизнес-плана Общества, утвержденного Советом директоров Общества в части превышения объема задолженности по кредитам и займам на 31.03.2016.</w:t>
      </w:r>
    </w:p>
    <w:p w:rsidR="0028537C" w:rsidRDefault="0028537C" w:rsidP="007B72DF">
      <w:pPr>
        <w:jc w:val="both"/>
        <w:rPr>
          <w:rFonts w:eastAsiaTheme="minorHAnsi"/>
          <w:sz w:val="28"/>
          <w:szCs w:val="28"/>
          <w:lang w:eastAsia="en-US"/>
        </w:rPr>
      </w:pP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81A0F" w:rsidRPr="00DB5834" w:rsidRDefault="00481A0F" w:rsidP="00C06DDC">
      <w:pPr>
        <w:ind w:firstLine="709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</w:t>
      </w:r>
      <w:r w:rsidR="00C06DDC">
        <w:rPr>
          <w:rFonts w:eastAsia="Calibri"/>
          <w:sz w:val="28"/>
          <w:szCs w:val="28"/>
        </w:rPr>
        <w:t>:</w:t>
      </w:r>
      <w:r w:rsidRPr="00DB5834">
        <w:rPr>
          <w:rFonts w:eastAsia="Calibri"/>
          <w:sz w:val="28"/>
          <w:szCs w:val="28"/>
        </w:rPr>
        <w:t xml:space="preserve"> «О рассмотрении отчета генерального директора ОАО «Калининградская генерирующая компания» о кредитной политике за 4 квартал 2015 года», голосовать «ЗА» принятие следующего решения:</w:t>
      </w:r>
    </w:p>
    <w:p w:rsidR="00481A0F" w:rsidRPr="00DB5834" w:rsidRDefault="00481A0F" w:rsidP="00C06DDC">
      <w:pPr>
        <w:ind w:firstLine="709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Принять к сведению отчет о кредитной политике ОАО «Калининградская генерирующая компания» за 4 квартал 2015 года согласно </w:t>
      </w:r>
      <w:proofErr w:type="gramStart"/>
      <w:r w:rsidRPr="00DB5834">
        <w:rPr>
          <w:rFonts w:eastAsia="Calibri"/>
          <w:sz w:val="28"/>
          <w:szCs w:val="28"/>
        </w:rPr>
        <w:t>приложению</w:t>
      </w:r>
      <w:proofErr w:type="gramEnd"/>
      <w:r w:rsidRPr="00DB5834">
        <w:rPr>
          <w:rFonts w:eastAsia="Calibri"/>
          <w:sz w:val="28"/>
          <w:szCs w:val="28"/>
        </w:rPr>
        <w:t xml:space="preserve"> к настоящему решению.</w:t>
      </w:r>
    </w:p>
    <w:p w:rsidR="00481A0F" w:rsidRDefault="00481A0F" w:rsidP="00172762">
      <w:pPr>
        <w:jc w:val="both"/>
        <w:rPr>
          <w:rFonts w:eastAsiaTheme="minorHAnsi"/>
          <w:sz w:val="28"/>
          <w:szCs w:val="28"/>
          <w:lang w:eastAsia="en-US"/>
        </w:rPr>
      </w:pP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</w:t>
      </w:r>
      <w:r w:rsidR="00C06DDC">
        <w:rPr>
          <w:rFonts w:eastAsia="Calibri"/>
          <w:sz w:val="28"/>
          <w:szCs w:val="28"/>
        </w:rPr>
        <w:t>:</w:t>
      </w:r>
      <w:r w:rsidRPr="00DB5834">
        <w:rPr>
          <w:rFonts w:eastAsia="Calibri"/>
          <w:sz w:val="28"/>
          <w:szCs w:val="28"/>
        </w:rPr>
        <w:t xml:space="preserve"> «О рассмотрении отчета генерального директора ОАО «Янтарьэнергосбыт» о кредитной политике за 4 квартал 2015 года», голосовать «ЗА» принятие следующего решения: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Принять к сведению отчет о кредитной политике ОАО «Янтарьэнергосбыт» за 4 квартал 2015 года согласно </w:t>
      </w:r>
      <w:proofErr w:type="gramStart"/>
      <w:r w:rsidRPr="00DB5834">
        <w:rPr>
          <w:rFonts w:eastAsia="Calibri"/>
          <w:sz w:val="28"/>
          <w:szCs w:val="28"/>
        </w:rPr>
        <w:t>приложению</w:t>
      </w:r>
      <w:proofErr w:type="gramEnd"/>
      <w:r w:rsidRPr="00DB5834">
        <w:rPr>
          <w:rFonts w:eastAsia="Calibri"/>
          <w:sz w:val="28"/>
          <w:szCs w:val="28"/>
        </w:rPr>
        <w:t xml:space="preserve"> к настоящему решению.</w:t>
      </w:r>
    </w:p>
    <w:p w:rsidR="00481A0F" w:rsidRPr="00DB5834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DB5834">
        <w:rPr>
          <w:rFonts w:eastAsia="Calibri"/>
          <w:sz w:val="28"/>
          <w:szCs w:val="28"/>
        </w:rPr>
        <w:t xml:space="preserve">Отметить превышение значения максимально допустимого лимита </w:t>
      </w:r>
      <w:r w:rsidRPr="00DB5834">
        <w:rPr>
          <w:rFonts w:eastAsia="Calibri"/>
          <w:sz w:val="28"/>
          <w:szCs w:val="28"/>
        </w:rPr>
        <w:br/>
        <w:t>по структуре пассивов.</w:t>
      </w:r>
    </w:p>
    <w:p w:rsidR="007852F3" w:rsidRDefault="007852F3" w:rsidP="008A3C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A3CA4" w:rsidRDefault="008A3CA4" w:rsidP="008A3CA4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81A0F" w:rsidRPr="000113EB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0113EB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</w:t>
      </w:r>
      <w:r w:rsidR="00C06DDC">
        <w:rPr>
          <w:rFonts w:eastAsia="Calibri"/>
          <w:sz w:val="28"/>
          <w:szCs w:val="28"/>
        </w:rPr>
        <w:t xml:space="preserve">                                      </w:t>
      </w:r>
      <w:r w:rsidRPr="000113EB">
        <w:rPr>
          <w:rFonts w:eastAsia="Calibri"/>
          <w:sz w:val="28"/>
          <w:szCs w:val="28"/>
        </w:rPr>
        <w:t>АО «Янтарьэнерго</w:t>
      </w:r>
      <w:r>
        <w:rPr>
          <w:rFonts w:eastAsia="Calibri"/>
          <w:sz w:val="28"/>
          <w:szCs w:val="28"/>
        </w:rPr>
        <w:t>сбыт</w:t>
      </w:r>
      <w:r w:rsidRPr="000113EB">
        <w:rPr>
          <w:rFonts w:eastAsia="Calibri"/>
          <w:sz w:val="28"/>
          <w:szCs w:val="28"/>
        </w:rPr>
        <w:t xml:space="preserve">» голосовать «за» принятие следующего решения: </w:t>
      </w:r>
    </w:p>
    <w:p w:rsidR="00481A0F" w:rsidRPr="000113EB" w:rsidRDefault="00481A0F" w:rsidP="00481A0F">
      <w:pPr>
        <w:ind w:firstLine="567"/>
        <w:jc w:val="both"/>
        <w:rPr>
          <w:rFonts w:eastAsia="Calibri"/>
          <w:sz w:val="28"/>
          <w:szCs w:val="28"/>
        </w:rPr>
      </w:pPr>
      <w:r w:rsidRPr="000113EB">
        <w:rPr>
          <w:rFonts w:eastAsia="Calibri"/>
          <w:sz w:val="28"/>
          <w:szCs w:val="28"/>
        </w:rPr>
        <w:t xml:space="preserve">Утвердить отчет генерального директора ОАО «Янтарьэнергосбыт» </w:t>
      </w:r>
      <w:r w:rsidRPr="000113EB">
        <w:rPr>
          <w:rFonts w:eastAsia="Calibri"/>
          <w:sz w:val="28"/>
          <w:szCs w:val="28"/>
        </w:rPr>
        <w:br/>
        <w:t>об исполнении целевых значений КПЭ Общества за 4 квартал 2015 года и 2015 год.</w:t>
      </w:r>
    </w:p>
    <w:p w:rsidR="00AE2A88" w:rsidRPr="00AD5C34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0807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F94C27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bookmarkStart w:id="0" w:name="_GoBack"/>
      <w:bookmarkEnd w:id="0"/>
      <w:r w:rsidR="00945D2E"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61302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7A"/>
    <w:multiLevelType w:val="multilevel"/>
    <w:tmpl w:val="E6ACDE24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2D6A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121783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C611D43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7" w15:restartNumberingAfterBreak="0">
    <w:nsid w:val="7B9E2620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0"/>
  </w:num>
  <w:num w:numId="5">
    <w:abstractNumId w:val="12"/>
  </w:num>
  <w:num w:numId="6">
    <w:abstractNumId w:val="22"/>
  </w:num>
  <w:num w:numId="7">
    <w:abstractNumId w:val="26"/>
  </w:num>
  <w:num w:numId="8">
    <w:abstractNumId w:val="25"/>
  </w:num>
  <w:num w:numId="9">
    <w:abstractNumId w:val="7"/>
  </w:num>
  <w:num w:numId="10">
    <w:abstractNumId w:val="15"/>
  </w:num>
  <w:num w:numId="11">
    <w:abstractNumId w:val="6"/>
  </w:num>
  <w:num w:numId="12">
    <w:abstractNumId w:val="10"/>
  </w:num>
  <w:num w:numId="13">
    <w:abstractNumId w:val="9"/>
  </w:num>
  <w:num w:numId="14">
    <w:abstractNumId w:val="19"/>
  </w:num>
  <w:num w:numId="15">
    <w:abstractNumId w:val="20"/>
  </w:num>
  <w:num w:numId="16">
    <w:abstractNumId w:val="8"/>
  </w:num>
  <w:num w:numId="17">
    <w:abstractNumId w:val="23"/>
  </w:num>
  <w:num w:numId="18">
    <w:abstractNumId w:val="21"/>
  </w:num>
  <w:num w:numId="19">
    <w:abstractNumId w:val="24"/>
  </w:num>
  <w:num w:numId="20">
    <w:abstractNumId w:val="2"/>
  </w:num>
  <w:num w:numId="21">
    <w:abstractNumId w:val="36"/>
  </w:num>
  <w:num w:numId="22">
    <w:abstractNumId w:val="17"/>
  </w:num>
  <w:num w:numId="23">
    <w:abstractNumId w:val="28"/>
  </w:num>
  <w:num w:numId="24">
    <w:abstractNumId w:val="30"/>
  </w:num>
  <w:num w:numId="25">
    <w:abstractNumId w:val="14"/>
  </w:num>
  <w:num w:numId="26">
    <w:abstractNumId w:val="5"/>
  </w:num>
  <w:num w:numId="27">
    <w:abstractNumId w:val="3"/>
  </w:num>
  <w:num w:numId="28">
    <w:abstractNumId w:val="34"/>
  </w:num>
  <w:num w:numId="29">
    <w:abstractNumId w:val="27"/>
  </w:num>
  <w:num w:numId="30">
    <w:abstractNumId w:val="11"/>
  </w:num>
  <w:num w:numId="31">
    <w:abstractNumId w:val="35"/>
  </w:num>
  <w:num w:numId="32">
    <w:abstractNumId w:val="16"/>
  </w:num>
  <w:num w:numId="33">
    <w:abstractNumId w:val="32"/>
  </w:num>
  <w:num w:numId="34">
    <w:abstractNumId w:val="37"/>
  </w:num>
  <w:num w:numId="35">
    <w:abstractNumId w:val="1"/>
  </w:num>
  <w:num w:numId="36">
    <w:abstractNumId w:val="31"/>
  </w:num>
  <w:num w:numId="37">
    <w:abstractNumId w:val="13"/>
  </w:num>
  <w:num w:numId="38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F09"/>
    <w:rsid w:val="0001718E"/>
    <w:rsid w:val="000254EF"/>
    <w:rsid w:val="00025E0F"/>
    <w:rsid w:val="00027917"/>
    <w:rsid w:val="00033B1D"/>
    <w:rsid w:val="000454C4"/>
    <w:rsid w:val="00050807"/>
    <w:rsid w:val="00060023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11EFE"/>
    <w:rsid w:val="00212B61"/>
    <w:rsid w:val="002156CE"/>
    <w:rsid w:val="00221CBF"/>
    <w:rsid w:val="00227380"/>
    <w:rsid w:val="00230070"/>
    <w:rsid w:val="002405AC"/>
    <w:rsid w:val="00241893"/>
    <w:rsid w:val="00241CE2"/>
    <w:rsid w:val="00242261"/>
    <w:rsid w:val="00245DFD"/>
    <w:rsid w:val="002464CD"/>
    <w:rsid w:val="00256B5E"/>
    <w:rsid w:val="002571CD"/>
    <w:rsid w:val="00272EA8"/>
    <w:rsid w:val="0028233A"/>
    <w:rsid w:val="0028537C"/>
    <w:rsid w:val="00294461"/>
    <w:rsid w:val="002A6EB5"/>
    <w:rsid w:val="002B4649"/>
    <w:rsid w:val="002B7153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52EA2"/>
    <w:rsid w:val="003577BC"/>
    <w:rsid w:val="00361302"/>
    <w:rsid w:val="003658A7"/>
    <w:rsid w:val="00365C75"/>
    <w:rsid w:val="00366C82"/>
    <w:rsid w:val="00370B06"/>
    <w:rsid w:val="00374CF4"/>
    <w:rsid w:val="00377F1E"/>
    <w:rsid w:val="0038103E"/>
    <w:rsid w:val="00382EE5"/>
    <w:rsid w:val="003840CE"/>
    <w:rsid w:val="00387CE4"/>
    <w:rsid w:val="00395CF9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64051"/>
    <w:rsid w:val="00472F00"/>
    <w:rsid w:val="00481A0F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FAA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180D"/>
    <w:rsid w:val="005C2920"/>
    <w:rsid w:val="005C42A1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30874"/>
    <w:rsid w:val="00630D18"/>
    <w:rsid w:val="006319EF"/>
    <w:rsid w:val="00644919"/>
    <w:rsid w:val="00650A73"/>
    <w:rsid w:val="00652324"/>
    <w:rsid w:val="006711CA"/>
    <w:rsid w:val="00677578"/>
    <w:rsid w:val="006A5BAE"/>
    <w:rsid w:val="006B136F"/>
    <w:rsid w:val="006B1901"/>
    <w:rsid w:val="006B3251"/>
    <w:rsid w:val="006B3E8A"/>
    <w:rsid w:val="006F34F8"/>
    <w:rsid w:val="006F6AE6"/>
    <w:rsid w:val="006F71A4"/>
    <w:rsid w:val="00700BBD"/>
    <w:rsid w:val="007021FE"/>
    <w:rsid w:val="00705517"/>
    <w:rsid w:val="00717D31"/>
    <w:rsid w:val="007202BC"/>
    <w:rsid w:val="00722659"/>
    <w:rsid w:val="00722CA7"/>
    <w:rsid w:val="00745E4C"/>
    <w:rsid w:val="0075322D"/>
    <w:rsid w:val="007554FE"/>
    <w:rsid w:val="00755B3B"/>
    <w:rsid w:val="00764B47"/>
    <w:rsid w:val="00767351"/>
    <w:rsid w:val="0077033A"/>
    <w:rsid w:val="00771B23"/>
    <w:rsid w:val="007751B7"/>
    <w:rsid w:val="007852F3"/>
    <w:rsid w:val="00785786"/>
    <w:rsid w:val="00790FFB"/>
    <w:rsid w:val="0079344E"/>
    <w:rsid w:val="007A526E"/>
    <w:rsid w:val="007A54F9"/>
    <w:rsid w:val="007A77E9"/>
    <w:rsid w:val="007B0AFC"/>
    <w:rsid w:val="007B72DF"/>
    <w:rsid w:val="007E1DC7"/>
    <w:rsid w:val="007E58E3"/>
    <w:rsid w:val="007E6FA4"/>
    <w:rsid w:val="007F60EF"/>
    <w:rsid w:val="0081253F"/>
    <w:rsid w:val="00833212"/>
    <w:rsid w:val="00835578"/>
    <w:rsid w:val="00836903"/>
    <w:rsid w:val="00837E4A"/>
    <w:rsid w:val="0084788D"/>
    <w:rsid w:val="0085069B"/>
    <w:rsid w:val="00850DF7"/>
    <w:rsid w:val="008534E6"/>
    <w:rsid w:val="00866D97"/>
    <w:rsid w:val="00866EA3"/>
    <w:rsid w:val="00874CBD"/>
    <w:rsid w:val="00875BBF"/>
    <w:rsid w:val="00877EFF"/>
    <w:rsid w:val="0088629E"/>
    <w:rsid w:val="00890F4D"/>
    <w:rsid w:val="00896F9D"/>
    <w:rsid w:val="00897F8E"/>
    <w:rsid w:val="008A3CA4"/>
    <w:rsid w:val="008A6403"/>
    <w:rsid w:val="008B0D62"/>
    <w:rsid w:val="008C018B"/>
    <w:rsid w:val="008C4796"/>
    <w:rsid w:val="008D103E"/>
    <w:rsid w:val="008D17EA"/>
    <w:rsid w:val="008D1F52"/>
    <w:rsid w:val="008E3BA0"/>
    <w:rsid w:val="008E6997"/>
    <w:rsid w:val="008F3B84"/>
    <w:rsid w:val="009032DA"/>
    <w:rsid w:val="0092186E"/>
    <w:rsid w:val="00936CED"/>
    <w:rsid w:val="00941254"/>
    <w:rsid w:val="00941A96"/>
    <w:rsid w:val="00945D2E"/>
    <w:rsid w:val="009537A1"/>
    <w:rsid w:val="00957BCC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1663"/>
    <w:rsid w:val="00A62758"/>
    <w:rsid w:val="00A63DCB"/>
    <w:rsid w:val="00A80807"/>
    <w:rsid w:val="00A81F67"/>
    <w:rsid w:val="00A82D7D"/>
    <w:rsid w:val="00A91A92"/>
    <w:rsid w:val="00A92194"/>
    <w:rsid w:val="00AB1187"/>
    <w:rsid w:val="00AC23DB"/>
    <w:rsid w:val="00AC7704"/>
    <w:rsid w:val="00AD443E"/>
    <w:rsid w:val="00AD5445"/>
    <w:rsid w:val="00AD5C34"/>
    <w:rsid w:val="00AE0956"/>
    <w:rsid w:val="00AE2A88"/>
    <w:rsid w:val="00AE611C"/>
    <w:rsid w:val="00AF03ED"/>
    <w:rsid w:val="00AF550A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6DF1"/>
    <w:rsid w:val="00B9128E"/>
    <w:rsid w:val="00B91B46"/>
    <w:rsid w:val="00B943B9"/>
    <w:rsid w:val="00BA619A"/>
    <w:rsid w:val="00BB2D4F"/>
    <w:rsid w:val="00BC1202"/>
    <w:rsid w:val="00BC35BE"/>
    <w:rsid w:val="00BD051A"/>
    <w:rsid w:val="00BE0432"/>
    <w:rsid w:val="00BF42BA"/>
    <w:rsid w:val="00BF4838"/>
    <w:rsid w:val="00BF6A03"/>
    <w:rsid w:val="00C01E8D"/>
    <w:rsid w:val="00C06DDC"/>
    <w:rsid w:val="00C1147A"/>
    <w:rsid w:val="00C11937"/>
    <w:rsid w:val="00C276D1"/>
    <w:rsid w:val="00C276E0"/>
    <w:rsid w:val="00C30D4E"/>
    <w:rsid w:val="00C34372"/>
    <w:rsid w:val="00C45867"/>
    <w:rsid w:val="00C52DF4"/>
    <w:rsid w:val="00C642C5"/>
    <w:rsid w:val="00C70097"/>
    <w:rsid w:val="00C70FCF"/>
    <w:rsid w:val="00C71803"/>
    <w:rsid w:val="00C762E5"/>
    <w:rsid w:val="00C85C44"/>
    <w:rsid w:val="00C9053F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5192D"/>
    <w:rsid w:val="00D74B33"/>
    <w:rsid w:val="00D7669C"/>
    <w:rsid w:val="00D813DC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DF5F85"/>
    <w:rsid w:val="00DF7294"/>
    <w:rsid w:val="00E02000"/>
    <w:rsid w:val="00E0531D"/>
    <w:rsid w:val="00E0585A"/>
    <w:rsid w:val="00E12D89"/>
    <w:rsid w:val="00E13951"/>
    <w:rsid w:val="00E15A72"/>
    <w:rsid w:val="00E302E4"/>
    <w:rsid w:val="00E32128"/>
    <w:rsid w:val="00E57D29"/>
    <w:rsid w:val="00E62EF0"/>
    <w:rsid w:val="00E63D55"/>
    <w:rsid w:val="00E737D8"/>
    <w:rsid w:val="00E82C92"/>
    <w:rsid w:val="00E85149"/>
    <w:rsid w:val="00E85306"/>
    <w:rsid w:val="00E867DF"/>
    <w:rsid w:val="00E876E8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536C"/>
    <w:rsid w:val="00F366AD"/>
    <w:rsid w:val="00F43E39"/>
    <w:rsid w:val="00F512A0"/>
    <w:rsid w:val="00F51E24"/>
    <w:rsid w:val="00F60152"/>
    <w:rsid w:val="00F7022F"/>
    <w:rsid w:val="00F71BDF"/>
    <w:rsid w:val="00F808F2"/>
    <w:rsid w:val="00F87723"/>
    <w:rsid w:val="00F94C27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C7C4-D166-4754-B1FE-80ECF556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132</cp:revision>
  <cp:lastPrinted>2016-03-31T14:13:00Z</cp:lastPrinted>
  <dcterms:created xsi:type="dcterms:W3CDTF">2016-02-11T09:53:00Z</dcterms:created>
  <dcterms:modified xsi:type="dcterms:W3CDTF">2016-04-27T09:22:00Z</dcterms:modified>
</cp:coreProperties>
</file>