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585B6D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585B6D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5B6D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585B6D" w:rsidRDefault="00A16A29" w:rsidP="0021062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585B6D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585B6D" w:rsidRDefault="006063CD" w:rsidP="00757019">
      <w:pPr>
        <w:contextualSpacing/>
      </w:pPr>
    </w:p>
    <w:p w:rsidR="00A16A29" w:rsidRPr="00585B6D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585B6D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585B6D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585B6D">
        <w:rPr>
          <w:rFonts w:eastAsiaTheme="minorHAnsi"/>
          <w:sz w:val="28"/>
          <w:szCs w:val="28"/>
          <w:lang w:eastAsia="en-US"/>
        </w:rPr>
        <w:t>Россети Янтарь</w:t>
      </w:r>
      <w:r w:rsidRPr="00585B6D">
        <w:rPr>
          <w:rFonts w:eastAsiaTheme="minorHAnsi"/>
          <w:sz w:val="28"/>
          <w:szCs w:val="28"/>
          <w:lang w:eastAsia="en-US"/>
        </w:rPr>
        <w:t>»</w:t>
      </w:r>
    </w:p>
    <w:p w:rsidR="00FE76E2" w:rsidRPr="00585B6D" w:rsidRDefault="00FE76E2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604"/>
      </w:tblGrid>
      <w:tr w:rsidR="00D34895" w:rsidRPr="00585B6D" w:rsidTr="00D34895">
        <w:tc>
          <w:tcPr>
            <w:tcW w:w="4673" w:type="dxa"/>
          </w:tcPr>
          <w:p w:rsidR="00D34895" w:rsidRPr="00585B6D" w:rsidRDefault="00301CAC" w:rsidP="00301CAC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CAC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="00D34895" w:rsidRPr="00301C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D34895" w:rsidRPr="00585B6D">
              <w:rPr>
                <w:rFonts w:ascii="Times New Roman" w:hAnsi="Times New Roman" w:cs="Times New Roman"/>
                <w:bCs/>
                <w:sz w:val="28"/>
                <w:szCs w:val="28"/>
              </w:rPr>
              <w:t>.2023</w:t>
            </w:r>
          </w:p>
        </w:tc>
        <w:tc>
          <w:tcPr>
            <w:tcW w:w="4673" w:type="dxa"/>
          </w:tcPr>
          <w:p w:rsidR="00D34895" w:rsidRPr="00585B6D" w:rsidRDefault="00D34895" w:rsidP="00C976F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C976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</w:tbl>
    <w:p w:rsidR="00D34895" w:rsidRPr="006719CB" w:rsidRDefault="00D34895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6719CB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719CB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6719CB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6719CB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19CB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6719CB">
        <w:rPr>
          <w:rFonts w:eastAsiaTheme="minorHAnsi"/>
          <w:sz w:val="28"/>
          <w:szCs w:val="28"/>
          <w:lang w:eastAsia="en-US"/>
        </w:rPr>
        <w:t>Россети Янтарь</w:t>
      </w:r>
      <w:r w:rsidRPr="006719CB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D34895" w:rsidRPr="006719CB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19CB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6719CB">
        <w:rPr>
          <w:sz w:val="28"/>
          <w:szCs w:val="28"/>
        </w:rPr>
        <w:t>Полинов А.А.</w:t>
      </w:r>
    </w:p>
    <w:p w:rsidR="00FE76E2" w:rsidRPr="006719CB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19CB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6719CB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19CB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6719CB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6719CB">
        <w:rPr>
          <w:rFonts w:eastAsiaTheme="minorHAnsi"/>
          <w:sz w:val="28"/>
          <w:szCs w:val="28"/>
          <w:lang w:eastAsia="en-US"/>
        </w:rPr>
        <w:t>:</w:t>
      </w:r>
    </w:p>
    <w:p w:rsidR="00FE76E2" w:rsidRPr="006719CB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719CB">
        <w:rPr>
          <w:sz w:val="28"/>
          <w:szCs w:val="28"/>
        </w:rPr>
        <w:t>Полинов А.А.</w:t>
      </w:r>
    </w:p>
    <w:p w:rsidR="00297F5B" w:rsidRPr="006719CB" w:rsidRDefault="00297F5B" w:rsidP="00297F5B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6719CB">
        <w:rPr>
          <w:sz w:val="28"/>
          <w:szCs w:val="28"/>
        </w:rPr>
        <w:t>Агафонов М.С.</w:t>
      </w:r>
    </w:p>
    <w:p w:rsidR="00961B2E" w:rsidRPr="006719CB" w:rsidRDefault="00961B2E" w:rsidP="00961B2E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6719CB">
        <w:rPr>
          <w:sz w:val="28"/>
          <w:szCs w:val="28"/>
        </w:rPr>
        <w:t>Антониадис А.А.</w:t>
      </w:r>
    </w:p>
    <w:p w:rsidR="00DE2D98" w:rsidRPr="006719CB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Калоева М.В.</w:t>
      </w:r>
    </w:p>
    <w:p w:rsidR="00961B2E" w:rsidRPr="006719CB" w:rsidRDefault="00961B2E" w:rsidP="00961B2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Пидник А.Ю.</w:t>
      </w:r>
    </w:p>
    <w:p w:rsidR="00DE2D98" w:rsidRPr="006719CB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719CB">
        <w:rPr>
          <w:sz w:val="28"/>
          <w:szCs w:val="28"/>
        </w:rPr>
        <w:t>Шагаев В.М.</w:t>
      </w:r>
    </w:p>
    <w:p w:rsidR="00DE2D98" w:rsidRPr="006719CB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719CB">
        <w:rPr>
          <w:sz w:val="28"/>
          <w:szCs w:val="28"/>
        </w:rPr>
        <w:t>Шагина И.А.</w:t>
      </w:r>
    </w:p>
    <w:p w:rsidR="00FE76E2" w:rsidRPr="006719CB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19CB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6719CB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19CB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6719CB">
        <w:rPr>
          <w:rFonts w:eastAsiaTheme="minorHAnsi"/>
          <w:sz w:val="28"/>
          <w:szCs w:val="28"/>
          <w:lang w:eastAsia="en-US"/>
        </w:rPr>
        <w:t>Россети Янтарь</w:t>
      </w:r>
      <w:r w:rsidRPr="006719CB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6719CB" w:rsidRDefault="00FE76E2" w:rsidP="00C00A0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6719CB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719CB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5F10F0" w:rsidRPr="006719CB" w:rsidRDefault="00C976F1" w:rsidP="005F10F0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6719CB">
        <w:rPr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АО «Россети Янтарь» за 1 квартал 2023 года.</w:t>
      </w:r>
    </w:p>
    <w:p w:rsidR="005F10F0" w:rsidRPr="006719CB" w:rsidRDefault="00C976F1" w:rsidP="005F10F0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6719CB">
        <w:rPr>
          <w:bCs/>
          <w:iCs/>
          <w:sz w:val="28"/>
          <w:szCs w:val="28"/>
        </w:rPr>
        <w:t>О рассмотрении отчета за 1 квартал 2023 года о реализации Программы цифровой трансформации АО «Россети Янтарь» на период до 2030 года, включая отчет по реализации плана мероприятий перехода на преимущественное использование отечественного программного обеспечения и отчет по реализации плана закупок и использования российской радиоэлектронной продукции.</w:t>
      </w:r>
    </w:p>
    <w:p w:rsidR="005F10F0" w:rsidRPr="006719CB" w:rsidRDefault="00C976F1" w:rsidP="005F10F0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6719CB">
        <w:rPr>
          <w:bCs/>
          <w:iCs/>
          <w:sz w:val="28"/>
          <w:szCs w:val="28"/>
        </w:rPr>
        <w:t>Об утверждении внутреннего документа Общества: Программы «Схема развития сети связи АО «Россети Янтарь».</w:t>
      </w:r>
    </w:p>
    <w:p w:rsidR="005F10F0" w:rsidRPr="006719CB" w:rsidRDefault="00C976F1" w:rsidP="005F10F0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6719CB">
        <w:rPr>
          <w:sz w:val="28"/>
          <w:szCs w:val="28"/>
        </w:rPr>
        <w:t xml:space="preserve">Об утверждении плана-графика мероприятий Общества по снижению просроченной дебиторской задолженности за услуги по передаче </w:t>
      </w:r>
      <w:r w:rsidRPr="006719CB">
        <w:rPr>
          <w:sz w:val="28"/>
          <w:szCs w:val="28"/>
        </w:rPr>
        <w:lastRenderedPageBreak/>
        <w:t>электрической энергии и урегулированию разногласий, сложившихся на 01.07.2023.</w:t>
      </w:r>
    </w:p>
    <w:p w:rsidR="005F10F0" w:rsidRPr="006719CB" w:rsidRDefault="00C976F1" w:rsidP="00C976F1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6719CB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об исполнении Плана развития АО «Россети Янтарь» за 1 полугодие 2023 года.</w:t>
      </w:r>
    </w:p>
    <w:p w:rsidR="00320074" w:rsidRPr="006719CB" w:rsidRDefault="00320074" w:rsidP="00320074">
      <w:pPr>
        <w:shd w:val="clear" w:color="auto" w:fill="FFFFFF"/>
        <w:tabs>
          <w:tab w:val="left" w:pos="992"/>
          <w:tab w:val="left" w:pos="2977"/>
        </w:tabs>
        <w:jc w:val="both"/>
        <w:rPr>
          <w:bCs/>
          <w:sz w:val="28"/>
          <w:szCs w:val="28"/>
        </w:rPr>
      </w:pPr>
    </w:p>
    <w:p w:rsidR="00C976F1" w:rsidRPr="006719CB" w:rsidRDefault="00FE76E2" w:rsidP="00C976F1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bookmarkStart w:id="0" w:name="_Hlk126137140"/>
      <w:r w:rsidRPr="006719CB">
        <w:rPr>
          <w:b/>
          <w:spacing w:val="-4"/>
          <w:sz w:val="28"/>
          <w:szCs w:val="28"/>
        </w:rPr>
        <w:t>ВОПРОС № 1:</w:t>
      </w:r>
      <w:r w:rsidRPr="006719CB">
        <w:rPr>
          <w:spacing w:val="-4"/>
          <w:sz w:val="28"/>
          <w:szCs w:val="28"/>
        </w:rPr>
        <w:t xml:space="preserve"> </w:t>
      </w:r>
      <w:r w:rsidR="00C976F1" w:rsidRPr="006719CB">
        <w:rPr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АО «Россети Янтарь» за 1 квартал 2023 года.</w:t>
      </w:r>
    </w:p>
    <w:p w:rsidR="00C976F1" w:rsidRPr="006719CB" w:rsidRDefault="00C976F1" w:rsidP="00C976F1">
      <w:pPr>
        <w:tabs>
          <w:tab w:val="left" w:pos="2977"/>
        </w:tabs>
        <w:contextualSpacing/>
        <w:jc w:val="both"/>
        <w:rPr>
          <w:sz w:val="28"/>
          <w:szCs w:val="28"/>
        </w:rPr>
      </w:pPr>
    </w:p>
    <w:p w:rsidR="00FE76E2" w:rsidRPr="006719CB" w:rsidRDefault="00FE76E2" w:rsidP="007565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19CB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C976F1" w:rsidRPr="006719CB" w:rsidRDefault="00C976F1" w:rsidP="006719C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Принять к сведению отчет об эффективном, целевом и своевременном использовании средств финансовой поддержки Плана развития АО «Россети Янтарь» за 1 квартал 2023 года согласно приложению к настоящему решению.</w:t>
      </w:r>
    </w:p>
    <w:p w:rsidR="00FA2CCE" w:rsidRPr="006719CB" w:rsidRDefault="00FA2CCE" w:rsidP="009529F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6719CB" w:rsidRDefault="00FE76E2" w:rsidP="009529FB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6719CB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585B6D" w:rsidTr="0036391F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585B6D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585B6D" w:rsidTr="0036391F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585B6D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585B6D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585B6D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585B6D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bookmarkStart w:id="1" w:name="_Hlk140746584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585B6D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585B6D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585B6D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585B6D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961B2E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961B2E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6391F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961B2E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0"/>
    <w:bookmarkEnd w:id="1"/>
    <w:p w:rsidR="00935848" w:rsidRPr="006719CB" w:rsidRDefault="0036391F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6719CB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5F10F0" w:rsidRPr="006719CB" w:rsidRDefault="00935848" w:rsidP="005F10F0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719CB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5F10F0" w:rsidRPr="006719CB" w:rsidRDefault="005F10F0" w:rsidP="005F10F0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F10F0" w:rsidRPr="006719CB" w:rsidRDefault="00EF2FC8" w:rsidP="005F10F0">
      <w:pPr>
        <w:ind w:firstLine="709"/>
        <w:contextualSpacing/>
        <w:jc w:val="both"/>
        <w:rPr>
          <w:rFonts w:eastAsia="NSimSun"/>
          <w:bCs/>
          <w:iCs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6719CB">
        <w:rPr>
          <w:b/>
          <w:spacing w:val="-4"/>
          <w:sz w:val="28"/>
          <w:szCs w:val="28"/>
        </w:rPr>
        <w:t>ВОПРОС № 2:</w:t>
      </w:r>
      <w:r w:rsidRPr="006719CB">
        <w:rPr>
          <w:spacing w:val="-4"/>
          <w:sz w:val="28"/>
          <w:szCs w:val="28"/>
        </w:rPr>
        <w:t xml:space="preserve"> </w:t>
      </w:r>
      <w:r w:rsidR="00C976F1" w:rsidRPr="006719CB">
        <w:rPr>
          <w:bCs/>
          <w:iCs/>
          <w:sz w:val="28"/>
          <w:szCs w:val="28"/>
        </w:rPr>
        <w:t>О рассмотрении отчета за 1 квартал 2023 года о реализации Программы цифровой трансформации АО «Россети Янтарь» на период до 2030 года, включая отчет по реализации плана мероприятий перехода на преимущественное использование отечественного программного обеспечения и отчет по реализации плана закупок и использования российской радиоэлектронной продукции.</w:t>
      </w:r>
    </w:p>
    <w:p w:rsidR="005F10F0" w:rsidRPr="006719CB" w:rsidRDefault="005F10F0" w:rsidP="005F10F0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5F10F0" w:rsidRPr="006719CB" w:rsidRDefault="00EF2FC8" w:rsidP="005F10F0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719CB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C976F1" w:rsidRPr="006719CB" w:rsidRDefault="00C976F1" w:rsidP="00C976F1">
      <w:pPr>
        <w:numPr>
          <w:ilvl w:val="0"/>
          <w:numId w:val="39"/>
        </w:numPr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Принять к сведению отчет о реализации Программы «Цифровая трансформация АО «Россети Янтарь» на период до 2030 года» (далее – Программа) за 1 квартал 2023 года, включая отчет по реализации Плана мероприятий перехода на преимущественное использование отечественного программного обеспечения и отчет по реализации плана закупок и использования российской радиоэлектронной продукции, согласно приложению к решению Совета директоров Общества.</w:t>
      </w:r>
    </w:p>
    <w:p w:rsidR="00C976F1" w:rsidRPr="006719CB" w:rsidRDefault="00C976F1" w:rsidP="00C976F1">
      <w:pPr>
        <w:numPr>
          <w:ilvl w:val="0"/>
          <w:numId w:val="39"/>
        </w:numPr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lastRenderedPageBreak/>
        <w:t>Признать утратившим силу пункт 5.7 протокола заседания Совета директоров Общества от 28.02.2023 № 21 (вопрос 7) в части предоставления промежуточных отчетов о реализации мероприятий Программы, достижении ключевых показателей эффективности ее реализации.</w:t>
      </w:r>
    </w:p>
    <w:p w:rsidR="00C976F1" w:rsidRPr="006719CB" w:rsidRDefault="00C976F1" w:rsidP="00C976F1">
      <w:pPr>
        <w:numPr>
          <w:ilvl w:val="0"/>
          <w:numId w:val="39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6719CB">
        <w:rPr>
          <w:sz w:val="28"/>
          <w:szCs w:val="28"/>
        </w:rPr>
        <w:t>Признать утратившим силу пункт 5.9.3 протокола заседания Совета директоров Общества от 28.02.2023 № 21 (вопрос 7) в части предоставления отчета за II полугодие о реализации Плана мероприятий перехода на преимущественное использование отечественного программного обеспечения.</w:t>
      </w:r>
    </w:p>
    <w:p w:rsidR="00BA2951" w:rsidRDefault="00BA2951" w:rsidP="005F10F0">
      <w:pPr>
        <w:ind w:firstLine="709"/>
        <w:contextualSpacing/>
        <w:jc w:val="both"/>
        <w:rPr>
          <w:sz w:val="28"/>
          <w:szCs w:val="28"/>
        </w:rPr>
      </w:pPr>
    </w:p>
    <w:p w:rsidR="00EF2FC8" w:rsidRPr="00585B6D" w:rsidRDefault="00EF2FC8" w:rsidP="00961B2E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961B2E" w:rsidRPr="00585B6D" w:rsidTr="00B14F7F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1B2E" w:rsidRPr="00585B6D" w:rsidTr="00B14F7F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1B2E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B14F7F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14F7F" w:rsidRPr="006719CB" w:rsidRDefault="00B14F7F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6719CB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EF2FC8" w:rsidRPr="006719CB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719CB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6719CB" w:rsidRDefault="00BB568B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D6D85" w:rsidRPr="006719CB" w:rsidRDefault="00EF2FC8" w:rsidP="005F10F0">
      <w:pPr>
        <w:tabs>
          <w:tab w:val="left" w:pos="2977"/>
        </w:tabs>
        <w:ind w:firstLine="709"/>
        <w:contextualSpacing/>
        <w:jc w:val="both"/>
        <w:rPr>
          <w:rFonts w:eastAsia="NSimSun"/>
          <w:bCs/>
          <w:iCs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6719CB">
        <w:rPr>
          <w:b/>
          <w:spacing w:val="-4"/>
          <w:sz w:val="28"/>
          <w:szCs w:val="28"/>
        </w:rPr>
        <w:t>ВОПРОС № 3:</w:t>
      </w:r>
      <w:r w:rsidRPr="006719CB">
        <w:rPr>
          <w:spacing w:val="-4"/>
          <w:sz w:val="28"/>
          <w:szCs w:val="28"/>
        </w:rPr>
        <w:t xml:space="preserve"> </w:t>
      </w:r>
      <w:r w:rsidR="00C976F1" w:rsidRPr="006719CB">
        <w:rPr>
          <w:bCs/>
          <w:iCs/>
          <w:sz w:val="28"/>
          <w:szCs w:val="28"/>
        </w:rPr>
        <w:t>Об утверждении внутреннего документа Общества: Программы «Схема развития сети связи АО «Россети Янтарь».</w:t>
      </w:r>
    </w:p>
    <w:p w:rsidR="005F10F0" w:rsidRPr="006719CB" w:rsidRDefault="005F10F0" w:rsidP="005F10F0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6719CB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19CB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C976F1" w:rsidRPr="006719CB" w:rsidRDefault="00C976F1" w:rsidP="00C976F1">
      <w:pPr>
        <w:numPr>
          <w:ilvl w:val="0"/>
          <w:numId w:val="40"/>
        </w:numPr>
        <w:tabs>
          <w:tab w:val="left" w:pos="993"/>
          <w:tab w:val="left" w:pos="2977"/>
        </w:tabs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Утвердить Программу «Схема развития сети связи АО «Россети Янтарь» согласно приложению к настоящему решению Совета директоров Общества.</w:t>
      </w:r>
    </w:p>
    <w:p w:rsidR="00C976F1" w:rsidRPr="006719CB" w:rsidRDefault="00C976F1" w:rsidP="00C976F1">
      <w:pPr>
        <w:numPr>
          <w:ilvl w:val="0"/>
          <w:numId w:val="40"/>
        </w:numPr>
        <w:tabs>
          <w:tab w:val="left" w:pos="993"/>
          <w:tab w:val="left" w:pos="2977"/>
        </w:tabs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Поручить генеральному директору Общества:</w:t>
      </w:r>
    </w:p>
    <w:p w:rsidR="00C976F1" w:rsidRPr="006719CB" w:rsidRDefault="00C976F1" w:rsidP="00C976F1">
      <w:pPr>
        <w:numPr>
          <w:ilvl w:val="1"/>
          <w:numId w:val="40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Предусматривать в проектах нового строительства, технического перевооружения и реконструкции электросетевых объектов, модернизации систем сбора и передачи информации создание средств и линий связи для информационного обмена систем технологического и корпоративного управления Общества.</w:t>
      </w:r>
    </w:p>
    <w:p w:rsidR="00C976F1" w:rsidRPr="006719CB" w:rsidRDefault="00C976F1" w:rsidP="00C976F1">
      <w:pPr>
        <w:numPr>
          <w:ilvl w:val="1"/>
          <w:numId w:val="40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Обеспечивать взаимоувязку фрагментов сети связи, создаваемых по программам нового строительства, технического перевооружения и реконструкции электросетевых объектов, модернизации систем сбора и передачи информации, создание систем учета электроэнергии, Цифровой трансформации и др.</w:t>
      </w:r>
    </w:p>
    <w:p w:rsidR="00C976F1" w:rsidRPr="006719CB" w:rsidRDefault="00C976F1" w:rsidP="00C976F1">
      <w:pPr>
        <w:numPr>
          <w:ilvl w:val="1"/>
          <w:numId w:val="40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Обеспечивать финансирование объектов «Схемы развития сети связи АО «Россети Янтарь» в пределах ежегодного лимита финансирования, предусмотренного инвестиционной программой Общества.</w:t>
      </w:r>
    </w:p>
    <w:p w:rsidR="00C976F1" w:rsidRDefault="00C976F1" w:rsidP="00C976F1">
      <w:pPr>
        <w:numPr>
          <w:ilvl w:val="1"/>
          <w:numId w:val="40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lastRenderedPageBreak/>
        <w:t>Осуществлять обновление и актуализацию материалов «Схемы развития сети связи АО «Россети Янтарь»» на период до 2030 года не реже одного раза в три года.</w:t>
      </w:r>
    </w:p>
    <w:p w:rsidR="006719CB" w:rsidRPr="006719CB" w:rsidRDefault="006719CB" w:rsidP="006719CB">
      <w:pPr>
        <w:tabs>
          <w:tab w:val="left" w:pos="993"/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EF2FC8" w:rsidRPr="006719CB" w:rsidRDefault="00EF2FC8" w:rsidP="00EF2FC8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6719CB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961B2E" w:rsidRPr="00585B6D" w:rsidTr="0036391F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1B2E" w:rsidRPr="00585B6D" w:rsidTr="0036391F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1B2E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6391F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6719CB" w:rsidRDefault="0036391F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6719CB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6719CB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719CB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EC30B6" w:rsidRPr="006719CB" w:rsidRDefault="00EC30B6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D0BB9" w:rsidRPr="006719CB" w:rsidRDefault="00320074" w:rsidP="007D0BB9">
      <w:pPr>
        <w:keepNext/>
        <w:keepLines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19CB">
        <w:rPr>
          <w:b/>
          <w:spacing w:val="-4"/>
          <w:sz w:val="28"/>
          <w:szCs w:val="28"/>
        </w:rPr>
        <w:t>ВОПРОС № 4:</w:t>
      </w:r>
      <w:r w:rsidRPr="006719CB">
        <w:rPr>
          <w:spacing w:val="-4"/>
          <w:sz w:val="28"/>
          <w:szCs w:val="28"/>
        </w:rPr>
        <w:t xml:space="preserve"> </w:t>
      </w:r>
      <w:r w:rsidR="007D0BB9" w:rsidRPr="006719CB">
        <w:rPr>
          <w:sz w:val="28"/>
          <w:szCs w:val="28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01.07.2023.</w:t>
      </w:r>
    </w:p>
    <w:p w:rsidR="005F10F0" w:rsidRPr="006719CB" w:rsidRDefault="005F10F0" w:rsidP="005F10F0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6719CB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19CB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7D0BB9" w:rsidRPr="006719CB" w:rsidRDefault="007D0BB9" w:rsidP="007D0BB9">
      <w:pPr>
        <w:pStyle w:val="ae"/>
        <w:numPr>
          <w:ilvl w:val="0"/>
          <w:numId w:val="4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719CB">
        <w:rPr>
          <w:rFonts w:ascii="Times New Roman" w:hAnsi="Times New Roman"/>
          <w:sz w:val="28"/>
          <w:szCs w:val="28"/>
          <w:lang w:eastAsia="en-US"/>
        </w:rPr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01.07.2023, согласно приложению к настоящему решению Совета директоров Общества.</w:t>
      </w:r>
    </w:p>
    <w:p w:rsidR="007D0BB9" w:rsidRPr="007D0BB9" w:rsidRDefault="007D0BB9" w:rsidP="007D0BB9">
      <w:pPr>
        <w:numPr>
          <w:ilvl w:val="0"/>
          <w:numId w:val="41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7D0BB9">
        <w:rPr>
          <w:sz w:val="28"/>
          <w:szCs w:val="28"/>
          <w:lang w:eastAsia="en-US"/>
        </w:rPr>
        <w:t>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сложившихся на 01.04.2023, согласно приложению к настоящему решению Совета директоров Общества.</w:t>
      </w:r>
    </w:p>
    <w:p w:rsidR="005D6D85" w:rsidRPr="006719CB" w:rsidRDefault="005D6D85" w:rsidP="007D0BB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6719CB" w:rsidRDefault="00320074" w:rsidP="00320074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6719CB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20074" w:rsidRPr="00585B6D" w:rsidTr="0036391F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36391F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6391F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6391F" w:rsidRPr="006719CB" w:rsidRDefault="0036391F" w:rsidP="0036391F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bookmarkStart w:id="2" w:name="_Hlk143243856"/>
      <w:r w:rsidRPr="006719CB">
        <w:rPr>
          <w:rFonts w:eastAsiaTheme="minorHAnsi"/>
          <w:bCs/>
          <w:i/>
          <w:color w:val="000000"/>
          <w:sz w:val="28"/>
          <w:szCs w:val="28"/>
          <w:lang w:eastAsia="en-US"/>
        </w:rPr>
        <w:lastRenderedPageBreak/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bookmarkEnd w:id="2"/>
    <w:p w:rsidR="00320074" w:rsidRPr="006719CB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719CB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20074" w:rsidRPr="006719CB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D0BB9" w:rsidRPr="006719CB" w:rsidRDefault="00320074" w:rsidP="007D0BB9">
      <w:pPr>
        <w:tabs>
          <w:tab w:val="left" w:pos="851"/>
        </w:tabs>
        <w:ind w:firstLine="709"/>
        <w:contextualSpacing/>
        <w:jc w:val="both"/>
        <w:rPr>
          <w:bCs/>
          <w:sz w:val="28"/>
          <w:szCs w:val="28"/>
        </w:rPr>
      </w:pPr>
      <w:r w:rsidRPr="006719CB">
        <w:rPr>
          <w:b/>
          <w:spacing w:val="-4"/>
          <w:sz w:val="28"/>
          <w:szCs w:val="28"/>
        </w:rPr>
        <w:t>ВОПРОС № 5:</w:t>
      </w:r>
      <w:r w:rsidRPr="006719CB">
        <w:rPr>
          <w:spacing w:val="-4"/>
          <w:sz w:val="28"/>
          <w:szCs w:val="28"/>
        </w:rPr>
        <w:t xml:space="preserve"> </w:t>
      </w:r>
      <w:r w:rsidR="007D0BB9" w:rsidRPr="006719CB">
        <w:rPr>
          <w:sz w:val="28"/>
          <w:szCs w:val="28"/>
        </w:rPr>
        <w:t>О рассмотрении отчета об исполнении Плана развития АО «Россети Янтарь» за 1 полугодие 2023 года.</w:t>
      </w:r>
    </w:p>
    <w:p w:rsidR="005D6D85" w:rsidRPr="006719CB" w:rsidRDefault="005D6D85" w:rsidP="007D0BB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6719CB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19CB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7D0BB9" w:rsidRPr="007D0BB9" w:rsidRDefault="007D0BB9" w:rsidP="007D0BB9">
      <w:pPr>
        <w:tabs>
          <w:tab w:val="left" w:pos="2977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7D0BB9">
        <w:rPr>
          <w:sz w:val="28"/>
          <w:szCs w:val="28"/>
          <w:lang w:eastAsia="en-US"/>
        </w:rPr>
        <w:t>Принять к сведению отчет об исполнении Плана развития Общества за 1 полугодие 2023 года согласно приложению к настоящему решению Совета директоров Общества.</w:t>
      </w:r>
    </w:p>
    <w:p w:rsidR="005D6D85" w:rsidRPr="00585B6D" w:rsidRDefault="005D6D85" w:rsidP="005D6D8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20074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F1788" w:rsidRDefault="005F1788" w:rsidP="005F178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3F2798" w:rsidRPr="003F2798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</w:t>
      </w: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7F69E4" w:rsidRDefault="007F69E4" w:rsidP="005F10F0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8"/>
          <w:szCs w:val="28"/>
        </w:rPr>
      </w:pPr>
    </w:p>
    <w:p w:rsidR="00FE76E2" w:rsidRPr="00585B6D" w:rsidRDefault="00FE76E2" w:rsidP="007565E4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585B6D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585B6D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585B6D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297F5B" w:rsidRPr="00585B6D">
        <w:rPr>
          <w:rFonts w:eastAsia="Calibri"/>
          <w:b/>
          <w:bCs/>
          <w:color w:val="000000"/>
          <w:sz w:val="28"/>
          <w:szCs w:val="28"/>
        </w:rPr>
        <w:t>и</w:t>
      </w:r>
      <w:r w:rsidRPr="00585B6D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297F5B" w:rsidRPr="00585B6D">
        <w:rPr>
          <w:rFonts w:eastAsia="Calibri"/>
          <w:b/>
          <w:bCs/>
          <w:color w:val="000000"/>
          <w:sz w:val="28"/>
          <w:szCs w:val="28"/>
        </w:rPr>
        <w:t>я</w:t>
      </w:r>
      <w:r w:rsidRPr="00585B6D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585B6D" w:rsidRDefault="00FE76E2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7565E4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585B6D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BF4757" w:rsidRDefault="006719CB" w:rsidP="006719CB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Принять к сведению отчет об эффективном, целевом и своевременном использовании средств финансовой поддержки Плана развития АО «Россети Янтарь» за 1 квартал 2023 года согласно приложению к настоящему решению.</w:t>
      </w:r>
    </w:p>
    <w:p w:rsidR="006719CB" w:rsidRPr="009529FB" w:rsidRDefault="006719CB" w:rsidP="009529FB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935848" w:rsidRPr="00585B6D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2 повестки дня:</w:t>
      </w:r>
    </w:p>
    <w:p w:rsidR="006719CB" w:rsidRPr="006719CB" w:rsidRDefault="006719CB" w:rsidP="006719CB">
      <w:pPr>
        <w:ind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1.</w:t>
      </w:r>
      <w:r w:rsidRPr="006719CB">
        <w:rPr>
          <w:sz w:val="28"/>
          <w:szCs w:val="28"/>
        </w:rPr>
        <w:tab/>
        <w:t>Принять к сведению отчет о реализации Программы «Цифровая трансформация АО «Россети Янтарь» на период до 2030 года» (далее – Программа) за 1 квартал 2023 года, включая отчет по реализации Плана мероприятий перехода на преимущественное использование отечественного программного обеспечения и отчет по реализации плана закупок и использования российской радиоэлектронной продукции, согласно приложению к решению Совета директоров Общества.</w:t>
      </w:r>
    </w:p>
    <w:p w:rsidR="006719CB" w:rsidRPr="006719CB" w:rsidRDefault="006719CB" w:rsidP="006719CB">
      <w:pPr>
        <w:ind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lastRenderedPageBreak/>
        <w:t>2.</w:t>
      </w:r>
      <w:r w:rsidRPr="006719CB">
        <w:rPr>
          <w:sz w:val="28"/>
          <w:szCs w:val="28"/>
        </w:rPr>
        <w:tab/>
        <w:t>Признать утратившим силу пункт 5.7 протокола заседания Совета директоров Общества от 28.02.2023 № 21 (вопрос 7) в части предоставления промежуточных отчетов о реализации мероприятий Программы, достижении ключевых показателей эффективности ее реализации.</w:t>
      </w:r>
    </w:p>
    <w:p w:rsidR="00A21463" w:rsidRDefault="006719CB" w:rsidP="006719CB">
      <w:pPr>
        <w:ind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3.</w:t>
      </w:r>
      <w:r w:rsidRPr="006719CB">
        <w:rPr>
          <w:sz w:val="28"/>
          <w:szCs w:val="28"/>
        </w:rPr>
        <w:tab/>
        <w:t>Признать утратившим силу пункт 5.9.3 протокола заседания Совета директоров Общества от 28.02.2023 № 21 (вопрос 7) в части предоставления отчета за II полугодие о реализации Плана мероприятий перехода на преимущественное использование отечественного программного обеспечения.</w:t>
      </w:r>
    </w:p>
    <w:p w:rsidR="006719CB" w:rsidRDefault="006719CB" w:rsidP="00A21463">
      <w:pPr>
        <w:ind w:firstLine="709"/>
        <w:contextualSpacing/>
        <w:jc w:val="both"/>
        <w:rPr>
          <w:sz w:val="28"/>
          <w:szCs w:val="28"/>
        </w:rPr>
      </w:pPr>
    </w:p>
    <w:p w:rsidR="006719CB" w:rsidRDefault="00585B6D" w:rsidP="006719CB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3 повестки дня:</w:t>
      </w:r>
    </w:p>
    <w:p w:rsidR="006719CB" w:rsidRPr="006719CB" w:rsidRDefault="006719CB" w:rsidP="006719CB">
      <w:pPr>
        <w:numPr>
          <w:ilvl w:val="0"/>
          <w:numId w:val="42"/>
        </w:numPr>
        <w:tabs>
          <w:tab w:val="left" w:pos="993"/>
          <w:tab w:val="left" w:pos="2977"/>
        </w:tabs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Утвердить Программу «Схема развития сети связи АО «Россети Янтарь» согласно приложению к настоящему решению Совета директоров Общества.</w:t>
      </w:r>
    </w:p>
    <w:p w:rsidR="006719CB" w:rsidRPr="006719CB" w:rsidRDefault="006719CB" w:rsidP="006719CB">
      <w:pPr>
        <w:numPr>
          <w:ilvl w:val="0"/>
          <w:numId w:val="42"/>
        </w:numPr>
        <w:tabs>
          <w:tab w:val="left" w:pos="993"/>
          <w:tab w:val="left" w:pos="2977"/>
        </w:tabs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Поручить генеральному директору Общества:</w:t>
      </w:r>
    </w:p>
    <w:p w:rsidR="006719CB" w:rsidRPr="006719CB" w:rsidRDefault="006719CB" w:rsidP="006719CB">
      <w:pPr>
        <w:numPr>
          <w:ilvl w:val="1"/>
          <w:numId w:val="4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Предусматривать в проектах нового строительства, технического перевооружения и реконструкции электросетевых объектов, модернизации систем сбора и передачи информации создание средств и линий связи для информационного обмена систем технологического и корпоративного управления Общества.</w:t>
      </w:r>
    </w:p>
    <w:p w:rsidR="006719CB" w:rsidRPr="006719CB" w:rsidRDefault="006719CB" w:rsidP="006719CB">
      <w:pPr>
        <w:numPr>
          <w:ilvl w:val="1"/>
          <w:numId w:val="4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Обеспечивать взаимоувязку фрагментов сети связи, создаваемых по программам нового строительства, технического перевооружения и реконструкции электросетевых объектов, модернизации систем сбора и передачи информации, создание систем учета электроэнергии, Цифровой трансформации и др.</w:t>
      </w:r>
    </w:p>
    <w:p w:rsidR="006719CB" w:rsidRPr="006719CB" w:rsidRDefault="006719CB" w:rsidP="006719CB">
      <w:pPr>
        <w:numPr>
          <w:ilvl w:val="1"/>
          <w:numId w:val="4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Обеспечивать финансирование объектов «Схемы развития сети связи АО «Россети Янтарь» в пределах ежегодного лимита финансирования, предусмотренного инвестиционной программой Общества.</w:t>
      </w:r>
    </w:p>
    <w:p w:rsidR="006719CB" w:rsidRPr="006719CB" w:rsidRDefault="006719CB" w:rsidP="006719CB">
      <w:pPr>
        <w:numPr>
          <w:ilvl w:val="1"/>
          <w:numId w:val="4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719CB">
        <w:rPr>
          <w:sz w:val="28"/>
          <w:szCs w:val="28"/>
        </w:rPr>
        <w:t>Осуществлять обновление и актуализацию материалов «Схемы развития сети связи АО «Россети Янтарь»» на период до 2030 года не реже одного раза в три года.</w:t>
      </w:r>
    </w:p>
    <w:p w:rsidR="00A21463" w:rsidRDefault="00A21463" w:rsidP="00A21463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585B6D" w:rsidRPr="005B718A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B718A">
        <w:rPr>
          <w:b/>
          <w:sz w:val="28"/>
          <w:szCs w:val="28"/>
        </w:rPr>
        <w:t>По вопросу № 4 повестки дня:</w:t>
      </w:r>
    </w:p>
    <w:p w:rsidR="0036391F" w:rsidRPr="006719CB" w:rsidRDefault="0036391F" w:rsidP="0036391F">
      <w:pPr>
        <w:pStyle w:val="ae"/>
        <w:numPr>
          <w:ilvl w:val="0"/>
          <w:numId w:val="43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719CB">
        <w:rPr>
          <w:rFonts w:ascii="Times New Roman" w:hAnsi="Times New Roman"/>
          <w:sz w:val="28"/>
          <w:szCs w:val="28"/>
          <w:lang w:eastAsia="en-US"/>
        </w:rPr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01.07.2023, согласно приложению к настоящему решению Совета директоров Общества.</w:t>
      </w:r>
    </w:p>
    <w:p w:rsidR="0036391F" w:rsidRPr="007D0BB9" w:rsidRDefault="0036391F" w:rsidP="0036391F">
      <w:pPr>
        <w:numPr>
          <w:ilvl w:val="0"/>
          <w:numId w:val="43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7D0BB9">
        <w:rPr>
          <w:sz w:val="28"/>
          <w:szCs w:val="28"/>
          <w:lang w:eastAsia="en-US"/>
        </w:rPr>
        <w:t>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сложившихся на 01.04.2023, согласно приложению к настоящему решению Совета директоров Общества.</w:t>
      </w:r>
    </w:p>
    <w:p w:rsidR="00585B6D" w:rsidRPr="005B718A" w:rsidRDefault="00585B6D" w:rsidP="0036391F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</w:p>
    <w:p w:rsidR="00585B6D" w:rsidRPr="005B718A" w:rsidRDefault="00585B6D" w:rsidP="003E3BAF">
      <w:pPr>
        <w:keepNext/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B718A">
        <w:rPr>
          <w:b/>
          <w:sz w:val="28"/>
          <w:szCs w:val="28"/>
        </w:rPr>
        <w:lastRenderedPageBreak/>
        <w:t>По вопросу № 5 повестки дня:</w:t>
      </w:r>
    </w:p>
    <w:p w:rsidR="00A21463" w:rsidRPr="005B718A" w:rsidRDefault="005B718A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B718A">
        <w:rPr>
          <w:sz w:val="28"/>
          <w:szCs w:val="28"/>
          <w:lang w:eastAsia="en-US"/>
        </w:rPr>
        <w:t>Принять к сведению отчет об исполнении Плана развития Общества за 1 полугодие 2023 года согласно приложению к настоящему решению Совета директоров Общества.</w:t>
      </w:r>
    </w:p>
    <w:p w:rsidR="00BF4757" w:rsidRDefault="00BF4757" w:rsidP="009529FB">
      <w:pPr>
        <w:contextualSpacing/>
        <w:jc w:val="both"/>
        <w:rPr>
          <w:sz w:val="28"/>
          <w:szCs w:val="28"/>
        </w:rPr>
      </w:pPr>
    </w:p>
    <w:p w:rsidR="00FE76E2" w:rsidRPr="00585B6D" w:rsidRDefault="001626CD" w:rsidP="007565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585B6D">
        <w:rPr>
          <w:i/>
          <w:sz w:val="28"/>
          <w:szCs w:val="28"/>
        </w:rPr>
        <w:t xml:space="preserve">Дата составления протокола </w:t>
      </w:r>
      <w:r w:rsidR="00301CAC" w:rsidRPr="00301CAC">
        <w:rPr>
          <w:i/>
          <w:sz w:val="28"/>
          <w:szCs w:val="28"/>
        </w:rPr>
        <w:t>07</w:t>
      </w:r>
      <w:r w:rsidR="00FE76E2" w:rsidRPr="00301CAC">
        <w:rPr>
          <w:i/>
          <w:sz w:val="28"/>
          <w:szCs w:val="28"/>
        </w:rPr>
        <w:t>.</w:t>
      </w:r>
      <w:r w:rsidR="00301CAC">
        <w:rPr>
          <w:i/>
          <w:sz w:val="28"/>
          <w:szCs w:val="28"/>
        </w:rPr>
        <w:t>11</w:t>
      </w:r>
      <w:r w:rsidR="00FE76E2" w:rsidRPr="00585B6D">
        <w:rPr>
          <w:i/>
          <w:sz w:val="28"/>
          <w:szCs w:val="28"/>
        </w:rPr>
        <w:t>.202</w:t>
      </w:r>
      <w:r w:rsidR="00735DBA" w:rsidRPr="00585B6D">
        <w:rPr>
          <w:i/>
          <w:sz w:val="28"/>
          <w:szCs w:val="28"/>
        </w:rPr>
        <w:t>3</w:t>
      </w:r>
      <w:r w:rsidR="00FE76E2" w:rsidRPr="00585B6D">
        <w:rPr>
          <w:i/>
          <w:sz w:val="28"/>
          <w:szCs w:val="28"/>
        </w:rPr>
        <w:t>.</w:t>
      </w:r>
    </w:p>
    <w:p w:rsidR="00BD2A2B" w:rsidRPr="00585B6D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585B6D" w:rsidRDefault="00696D37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1B2E" w:rsidRPr="00585B6D" w:rsidRDefault="00961B2E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B5038" w:rsidRDefault="00AB5038" w:rsidP="00AB503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Совета директоров                        ПОДПИСЬ          А.А. Полинов</w:t>
      </w:r>
    </w:p>
    <w:p w:rsidR="00AB5038" w:rsidRDefault="00AB5038" w:rsidP="00AB5038">
      <w:pPr>
        <w:jc w:val="both"/>
        <w:rPr>
          <w:rFonts w:eastAsiaTheme="minorHAnsi"/>
          <w:sz w:val="28"/>
          <w:szCs w:val="28"/>
          <w:lang w:eastAsia="en-US"/>
        </w:rPr>
      </w:pPr>
    </w:p>
    <w:p w:rsidR="00AB5038" w:rsidRDefault="00AB5038" w:rsidP="00AB5038">
      <w:pPr>
        <w:jc w:val="both"/>
        <w:rPr>
          <w:rFonts w:eastAsiaTheme="minorHAnsi"/>
          <w:sz w:val="28"/>
          <w:szCs w:val="28"/>
          <w:lang w:eastAsia="en-US"/>
        </w:rPr>
      </w:pPr>
    </w:p>
    <w:p w:rsidR="00AB5038" w:rsidRDefault="00AB5038" w:rsidP="00AB5038">
      <w:pPr>
        <w:jc w:val="both"/>
        <w:rPr>
          <w:rFonts w:eastAsiaTheme="minorHAnsi"/>
          <w:sz w:val="28"/>
          <w:szCs w:val="28"/>
          <w:lang w:eastAsia="en-US"/>
        </w:rPr>
      </w:pPr>
    </w:p>
    <w:p w:rsidR="00AB5038" w:rsidRDefault="00AB5038" w:rsidP="00AB5038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Корпоративный секретарь    </w:t>
      </w:r>
      <w:bookmarkStart w:id="3" w:name="_GoBack"/>
      <w:bookmarkEnd w:id="3"/>
      <w:r>
        <w:rPr>
          <w:rFonts w:eastAsiaTheme="minorHAnsi"/>
          <w:sz w:val="28"/>
          <w:szCs w:val="28"/>
          <w:lang w:eastAsia="en-US"/>
        </w:rPr>
        <w:t xml:space="preserve">                                  ПОДПИСЬ        А.А. Темнышев</w:t>
      </w:r>
    </w:p>
    <w:p w:rsidR="00F5766E" w:rsidRPr="00324BB5" w:rsidRDefault="00F5766E" w:rsidP="00AB5038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sectPr w:rsidR="00F5766E" w:rsidRPr="00324BB5" w:rsidSect="00B461F3">
      <w:footerReference w:type="default" r:id="rId9"/>
      <w:pgSz w:w="11907" w:h="16840"/>
      <w:pgMar w:top="1135" w:right="992" w:bottom="1134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DD" w:rsidRDefault="00B211DD" w:rsidP="004C638C">
      <w:r>
        <w:separator/>
      </w:r>
    </w:p>
  </w:endnote>
  <w:endnote w:type="continuationSeparator" w:id="0">
    <w:p w:rsidR="00B211DD" w:rsidRDefault="00B211DD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18301413"/>
      <w:docPartObj>
        <w:docPartGallery w:val="Page Numbers (Bottom of Page)"/>
        <w:docPartUnique/>
      </w:docPartObj>
    </w:sdtPr>
    <w:sdtEndPr/>
    <w:sdtContent>
      <w:p w:rsidR="00C976F1" w:rsidRPr="00E66F62" w:rsidRDefault="00C976F1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AB5038">
          <w:rPr>
            <w:rFonts w:ascii="Times New Roman" w:hAnsi="Times New Roman" w:cs="Times New Roman"/>
            <w:noProof/>
          </w:rPr>
          <w:t>6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DD" w:rsidRDefault="00B211DD" w:rsidP="004C638C">
      <w:r>
        <w:separator/>
      </w:r>
    </w:p>
  </w:footnote>
  <w:footnote w:type="continuationSeparator" w:id="0">
    <w:p w:rsidR="00B211DD" w:rsidRDefault="00B211DD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526"/>
    <w:multiLevelType w:val="hybridMultilevel"/>
    <w:tmpl w:val="8B48B714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A68B5"/>
    <w:multiLevelType w:val="hybridMultilevel"/>
    <w:tmpl w:val="5F9A3512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28816D8"/>
    <w:multiLevelType w:val="hybridMultilevel"/>
    <w:tmpl w:val="1ECA8AC2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0F47DF"/>
    <w:multiLevelType w:val="hybridMultilevel"/>
    <w:tmpl w:val="8354BF8C"/>
    <w:lvl w:ilvl="0" w:tplc="F490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082AA7"/>
    <w:multiLevelType w:val="hybridMultilevel"/>
    <w:tmpl w:val="13F4B92E"/>
    <w:lvl w:ilvl="0" w:tplc="BDD2A70A">
      <w:numFmt w:val="bullet"/>
      <w:lvlText w:val="-"/>
      <w:lvlJc w:val="left"/>
      <w:pPr>
        <w:ind w:left="1429" w:hanging="360"/>
      </w:pPr>
      <w:rPr>
        <w:rFonts w:ascii="Times New Roman" w:eastAsia="Symbol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699E"/>
    <w:multiLevelType w:val="hybridMultilevel"/>
    <w:tmpl w:val="1ECA8AC2"/>
    <w:lvl w:ilvl="0" w:tplc="C616E52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20424BAA"/>
    <w:multiLevelType w:val="hybridMultilevel"/>
    <w:tmpl w:val="287450BA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7568B7"/>
    <w:multiLevelType w:val="hybridMultilevel"/>
    <w:tmpl w:val="17F0A2E4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3424C"/>
    <w:multiLevelType w:val="hybridMultilevel"/>
    <w:tmpl w:val="47723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9F4AAF"/>
    <w:multiLevelType w:val="multilevel"/>
    <w:tmpl w:val="17C655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61429"/>
    <w:multiLevelType w:val="hybridMultilevel"/>
    <w:tmpl w:val="2D7EC92C"/>
    <w:lvl w:ilvl="0" w:tplc="47923AF8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1361DEE"/>
    <w:multiLevelType w:val="hybridMultilevel"/>
    <w:tmpl w:val="7996CB9E"/>
    <w:lvl w:ilvl="0" w:tplc="B0EAA24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269A"/>
    <w:multiLevelType w:val="hybridMultilevel"/>
    <w:tmpl w:val="2D7EC92C"/>
    <w:lvl w:ilvl="0" w:tplc="47923AF8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6BE54D2"/>
    <w:multiLevelType w:val="hybridMultilevel"/>
    <w:tmpl w:val="8354BF8C"/>
    <w:lvl w:ilvl="0" w:tplc="F490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03DE6"/>
    <w:multiLevelType w:val="hybridMultilevel"/>
    <w:tmpl w:val="0CFA3878"/>
    <w:lvl w:ilvl="0" w:tplc="7472D5F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996F18"/>
    <w:multiLevelType w:val="hybridMultilevel"/>
    <w:tmpl w:val="812AC8F6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F71C18"/>
    <w:multiLevelType w:val="hybridMultilevel"/>
    <w:tmpl w:val="768AFAA4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BB581D"/>
    <w:multiLevelType w:val="hybridMultilevel"/>
    <w:tmpl w:val="7996CB9E"/>
    <w:lvl w:ilvl="0" w:tplc="B0EAA24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D27F0E"/>
    <w:multiLevelType w:val="hybridMultilevel"/>
    <w:tmpl w:val="8B48B714"/>
    <w:lvl w:ilvl="0" w:tplc="C616E52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EC52693"/>
    <w:multiLevelType w:val="hybridMultilevel"/>
    <w:tmpl w:val="BF549DE4"/>
    <w:lvl w:ilvl="0" w:tplc="8F9CF88C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52500006"/>
    <w:multiLevelType w:val="hybridMultilevel"/>
    <w:tmpl w:val="02863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574460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56B940D6"/>
    <w:multiLevelType w:val="hybridMultilevel"/>
    <w:tmpl w:val="DBD050A2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E43EB9"/>
    <w:multiLevelType w:val="hybridMultilevel"/>
    <w:tmpl w:val="BF049AA6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A21C76"/>
    <w:multiLevelType w:val="hybridMultilevel"/>
    <w:tmpl w:val="FDE4B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445B35"/>
    <w:multiLevelType w:val="hybridMultilevel"/>
    <w:tmpl w:val="B07E84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CC336CA"/>
    <w:multiLevelType w:val="hybridMultilevel"/>
    <w:tmpl w:val="C902E60C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393D17"/>
    <w:multiLevelType w:val="multilevel"/>
    <w:tmpl w:val="17C655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6E5747DE"/>
    <w:multiLevelType w:val="hybridMultilevel"/>
    <w:tmpl w:val="B7F6CFC8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3F3241"/>
    <w:multiLevelType w:val="hybridMultilevel"/>
    <w:tmpl w:val="BF549DE4"/>
    <w:lvl w:ilvl="0" w:tplc="8F9CF88C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746A6414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6916986"/>
    <w:multiLevelType w:val="hybridMultilevel"/>
    <w:tmpl w:val="09E26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F57239"/>
    <w:multiLevelType w:val="hybridMultilevel"/>
    <w:tmpl w:val="79C27960"/>
    <w:lvl w:ilvl="0" w:tplc="431E64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0D2715"/>
    <w:multiLevelType w:val="hybridMultilevel"/>
    <w:tmpl w:val="79C27960"/>
    <w:lvl w:ilvl="0" w:tplc="431E64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</w:num>
  <w:num w:numId="3">
    <w:abstractNumId w:val="41"/>
  </w:num>
  <w:num w:numId="4">
    <w:abstractNumId w:val="12"/>
  </w:num>
  <w:num w:numId="5">
    <w:abstractNumId w:val="13"/>
  </w:num>
  <w:num w:numId="6">
    <w:abstractNumId w:val="16"/>
  </w:num>
  <w:num w:numId="7">
    <w:abstractNumId w:val="42"/>
  </w:num>
  <w:num w:numId="8">
    <w:abstractNumId w:val="19"/>
  </w:num>
  <w:num w:numId="9">
    <w:abstractNumId w:val="2"/>
  </w:num>
  <w:num w:numId="10">
    <w:abstractNumId w:val="5"/>
  </w:num>
  <w:num w:numId="11">
    <w:abstractNumId w:val="37"/>
  </w:num>
  <w:num w:numId="12">
    <w:abstractNumId w:val="36"/>
  </w:num>
  <w:num w:numId="13">
    <w:abstractNumId w:val="27"/>
  </w:num>
  <w:num w:numId="14">
    <w:abstractNumId w:val="10"/>
  </w:num>
  <w:num w:numId="15">
    <w:abstractNumId w:val="3"/>
  </w:num>
  <w:num w:numId="16">
    <w:abstractNumId w:val="24"/>
  </w:num>
  <w:num w:numId="17">
    <w:abstractNumId w:val="7"/>
  </w:num>
  <w:num w:numId="18">
    <w:abstractNumId w:val="0"/>
  </w:num>
  <w:num w:numId="19">
    <w:abstractNumId w:val="30"/>
  </w:num>
  <w:num w:numId="20">
    <w:abstractNumId w:val="29"/>
  </w:num>
  <w:num w:numId="21">
    <w:abstractNumId w:val="21"/>
  </w:num>
  <w:num w:numId="22">
    <w:abstractNumId w:val="8"/>
  </w:num>
  <w:num w:numId="23">
    <w:abstractNumId w:val="1"/>
  </w:num>
  <w:num w:numId="24">
    <w:abstractNumId w:val="9"/>
  </w:num>
  <w:num w:numId="25">
    <w:abstractNumId w:val="34"/>
  </w:num>
  <w:num w:numId="26">
    <w:abstractNumId w:val="28"/>
  </w:num>
  <w:num w:numId="27">
    <w:abstractNumId w:val="32"/>
  </w:num>
  <w:num w:numId="28">
    <w:abstractNumId w:val="22"/>
  </w:num>
  <w:num w:numId="29">
    <w:abstractNumId w:val="26"/>
  </w:num>
  <w:num w:numId="30">
    <w:abstractNumId w:val="35"/>
  </w:num>
  <w:num w:numId="31">
    <w:abstractNumId w:val="38"/>
  </w:num>
  <w:num w:numId="32">
    <w:abstractNumId w:val="17"/>
  </w:num>
  <w:num w:numId="33">
    <w:abstractNumId w:val="18"/>
  </w:num>
  <w:num w:numId="34">
    <w:abstractNumId w:val="25"/>
  </w:num>
  <w:num w:numId="35">
    <w:abstractNumId w:val="40"/>
  </w:num>
  <w:num w:numId="36">
    <w:abstractNumId w:val="14"/>
  </w:num>
  <w:num w:numId="37">
    <w:abstractNumId w:val="4"/>
  </w:num>
  <w:num w:numId="38">
    <w:abstractNumId w:val="31"/>
  </w:num>
  <w:num w:numId="39">
    <w:abstractNumId w:val="20"/>
  </w:num>
  <w:num w:numId="40">
    <w:abstractNumId w:val="11"/>
  </w:num>
  <w:num w:numId="41">
    <w:abstractNumId w:val="15"/>
  </w:num>
  <w:num w:numId="42">
    <w:abstractNumId w:val="33"/>
  </w:num>
  <w:num w:numId="43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756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4CA"/>
    <w:rsid w:val="0011276D"/>
    <w:rsid w:val="00112DBA"/>
    <w:rsid w:val="0011321B"/>
    <w:rsid w:val="00113360"/>
    <w:rsid w:val="00113B6F"/>
    <w:rsid w:val="00114BC2"/>
    <w:rsid w:val="00114EEB"/>
    <w:rsid w:val="001152BF"/>
    <w:rsid w:val="0011686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1F63A6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1CA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0074"/>
    <w:rsid w:val="0032151C"/>
    <w:rsid w:val="00321921"/>
    <w:rsid w:val="003222B2"/>
    <w:rsid w:val="00322A07"/>
    <w:rsid w:val="00323A5A"/>
    <w:rsid w:val="00323B71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391F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7BD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3BAF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798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07EE5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1CEA"/>
    <w:rsid w:val="00583052"/>
    <w:rsid w:val="00583B7B"/>
    <w:rsid w:val="00585626"/>
    <w:rsid w:val="00585B6D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18A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6D85"/>
    <w:rsid w:val="005E07CE"/>
    <w:rsid w:val="005E08A4"/>
    <w:rsid w:val="005E0A1F"/>
    <w:rsid w:val="005F0331"/>
    <w:rsid w:val="005F0823"/>
    <w:rsid w:val="005F10F0"/>
    <w:rsid w:val="005F1788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758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57DE8"/>
    <w:rsid w:val="00661941"/>
    <w:rsid w:val="00661D5B"/>
    <w:rsid w:val="00664DE4"/>
    <w:rsid w:val="00665BD2"/>
    <w:rsid w:val="006674C6"/>
    <w:rsid w:val="00667CF6"/>
    <w:rsid w:val="006701F0"/>
    <w:rsid w:val="006719CB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A4E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228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0BB9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69E4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658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3C07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29FB"/>
    <w:rsid w:val="009538FF"/>
    <w:rsid w:val="00954008"/>
    <w:rsid w:val="00955477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3AFD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5D20"/>
    <w:rsid w:val="00A16A29"/>
    <w:rsid w:val="00A175A7"/>
    <w:rsid w:val="00A210EA"/>
    <w:rsid w:val="00A21463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022A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A83"/>
    <w:rsid w:val="00AB3B2F"/>
    <w:rsid w:val="00AB5038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4F7F"/>
    <w:rsid w:val="00B16450"/>
    <w:rsid w:val="00B17765"/>
    <w:rsid w:val="00B17F29"/>
    <w:rsid w:val="00B2060A"/>
    <w:rsid w:val="00B211DD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1F3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2951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4757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26EB"/>
    <w:rsid w:val="00C63608"/>
    <w:rsid w:val="00C638DF"/>
    <w:rsid w:val="00C63D45"/>
    <w:rsid w:val="00C65C07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6F1"/>
    <w:rsid w:val="00C97BD0"/>
    <w:rsid w:val="00C97C16"/>
    <w:rsid w:val="00C97C59"/>
    <w:rsid w:val="00CA0026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4895"/>
    <w:rsid w:val="00D359A3"/>
    <w:rsid w:val="00D400DE"/>
    <w:rsid w:val="00D4034A"/>
    <w:rsid w:val="00D41255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4D2D"/>
    <w:rsid w:val="00D8531C"/>
    <w:rsid w:val="00D87637"/>
    <w:rsid w:val="00D9078A"/>
    <w:rsid w:val="00D90B3E"/>
    <w:rsid w:val="00D95B71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4DCA"/>
    <w:rsid w:val="00EC6721"/>
    <w:rsid w:val="00EC7D5D"/>
    <w:rsid w:val="00ED0A72"/>
    <w:rsid w:val="00ED1919"/>
    <w:rsid w:val="00ED19AB"/>
    <w:rsid w:val="00ED214E"/>
    <w:rsid w:val="00ED23C9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3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otnote reference"/>
    <w:semiHidden/>
    <w:rsid w:val="005F1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131E-ED88-4103-B705-4E9D901E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Мойсеева Ульяна Андреевна</cp:lastModifiedBy>
  <cp:revision>4</cp:revision>
  <cp:lastPrinted>2023-07-26T08:53:00Z</cp:lastPrinted>
  <dcterms:created xsi:type="dcterms:W3CDTF">2023-11-08T13:15:00Z</dcterms:created>
  <dcterms:modified xsi:type="dcterms:W3CDTF">2023-12-12T09:16:00Z</dcterms:modified>
</cp:coreProperties>
</file>