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4738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FF13F0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A010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 w:rsidR="00FF13F0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9915B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FF13F0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F13F0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FF13F0">
        <w:rPr>
          <w:rFonts w:eastAsiaTheme="minorHAnsi"/>
          <w:sz w:val="28"/>
          <w:szCs w:val="28"/>
          <w:lang w:eastAsia="en-US"/>
        </w:rPr>
        <w:t>6</w:t>
      </w:r>
      <w:r w:rsidRPr="00FF13F0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F13F0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821DF" w:rsidRPr="000821DF" w:rsidRDefault="000821DF" w:rsidP="000821DF">
      <w:pPr>
        <w:numPr>
          <w:ilvl w:val="0"/>
          <w:numId w:val="26"/>
        </w:numPr>
        <w:spacing w:after="120"/>
        <w:contextualSpacing/>
        <w:jc w:val="both"/>
        <w:rPr>
          <w:sz w:val="28"/>
          <w:szCs w:val="28"/>
        </w:rPr>
      </w:pPr>
      <w:r w:rsidRPr="000821DF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01.01.2017.</w:t>
      </w:r>
    </w:p>
    <w:p w:rsidR="000821DF" w:rsidRPr="000821DF" w:rsidRDefault="000821DF" w:rsidP="000821DF">
      <w:pPr>
        <w:numPr>
          <w:ilvl w:val="0"/>
          <w:numId w:val="26"/>
        </w:numPr>
        <w:spacing w:after="120"/>
        <w:contextualSpacing/>
        <w:jc w:val="both"/>
        <w:rPr>
          <w:sz w:val="28"/>
          <w:szCs w:val="28"/>
        </w:rPr>
      </w:pPr>
      <w:r w:rsidRPr="000821DF">
        <w:rPr>
          <w:sz w:val="28"/>
          <w:szCs w:val="28"/>
        </w:rPr>
        <w:t>Об утверждении Методики расчета и оценки выполнения ключевых показателей эффективности Генерального директора АО «Янтарьэнерго» для применения с 2017 года.</w:t>
      </w:r>
    </w:p>
    <w:p w:rsidR="008F0D3E" w:rsidRDefault="008F0D3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290D" w:rsidRPr="00E37E5E" w:rsidRDefault="0088629E" w:rsidP="00BB290D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BB290D" w:rsidRPr="00E37E5E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01.01.2017.</w:t>
      </w:r>
    </w:p>
    <w:p w:rsidR="008F0D3E" w:rsidRDefault="0088629E" w:rsidP="00A763C4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>
        <w:rPr>
          <w:rFonts w:eastAsiaTheme="minorHAnsi"/>
          <w:b/>
          <w:sz w:val="28"/>
          <w:szCs w:val="28"/>
          <w:lang w:eastAsia="en-US"/>
        </w:rPr>
        <w:t>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01.01.2017, согласно Приложению </w:t>
      </w:r>
      <w:r>
        <w:rPr>
          <w:rFonts w:eastAsia="Calibri"/>
          <w:sz w:val="28"/>
          <w:szCs w:val="28"/>
        </w:rPr>
        <w:t xml:space="preserve">№ </w:t>
      </w:r>
      <w:r w:rsidRPr="00C26BEC">
        <w:rPr>
          <w:rFonts w:eastAsia="Calibri"/>
          <w:sz w:val="28"/>
          <w:szCs w:val="28"/>
        </w:rPr>
        <w:t>1 к настоящему решению Совета директоров Общества с учетом следующих замечаний: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- по мероприятию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Направление искового заявления (долг, разногласия)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в отношении задолженности, сложившейся в расчетах с ОАО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Янтарьэнергосбыт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за расчетные периоды 2013 года на сумму 120,115 млн</w:t>
      </w:r>
      <w:r>
        <w:rPr>
          <w:rFonts w:eastAsia="Calibri"/>
          <w:sz w:val="28"/>
          <w:szCs w:val="28"/>
        </w:rPr>
        <w:t>.</w:t>
      </w:r>
      <w:r w:rsidRPr="00C26BEC">
        <w:rPr>
          <w:rFonts w:eastAsia="Calibri"/>
          <w:sz w:val="28"/>
          <w:szCs w:val="28"/>
        </w:rPr>
        <w:t xml:space="preserve"> рублей, срок исполнения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I КВ 2017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исправить на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III КВ 2017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>, примечание изложить в следующей редакции: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C26BEC">
        <w:rPr>
          <w:rFonts w:eastAsia="Calibri"/>
          <w:sz w:val="28"/>
          <w:szCs w:val="28"/>
        </w:rPr>
        <w:t xml:space="preserve">Подлежит корректировке по </w:t>
      </w:r>
      <w:proofErr w:type="gramStart"/>
      <w:r w:rsidRPr="00C26BEC">
        <w:rPr>
          <w:rFonts w:eastAsia="Calibri"/>
          <w:sz w:val="28"/>
          <w:szCs w:val="28"/>
        </w:rPr>
        <w:t>результатам  рассмотрения</w:t>
      </w:r>
      <w:proofErr w:type="gramEnd"/>
      <w:r w:rsidRPr="00C26BEC">
        <w:rPr>
          <w:rFonts w:eastAsia="Calibri"/>
          <w:sz w:val="28"/>
          <w:szCs w:val="28"/>
        </w:rPr>
        <w:t xml:space="preserve"> в судебном порядке вопроса об </w:t>
      </w:r>
      <w:proofErr w:type="spellStart"/>
      <w:r w:rsidRPr="00C26BEC">
        <w:rPr>
          <w:rFonts w:eastAsia="Calibri"/>
          <w:sz w:val="28"/>
          <w:szCs w:val="28"/>
        </w:rPr>
        <w:t>обязании</w:t>
      </w:r>
      <w:proofErr w:type="spellEnd"/>
      <w:r w:rsidRPr="00C26BEC">
        <w:rPr>
          <w:rFonts w:eastAsia="Calibri"/>
          <w:sz w:val="28"/>
          <w:szCs w:val="28"/>
        </w:rPr>
        <w:t xml:space="preserve"> Службы по государственному регулированию цен и тарифов Калининградской области издать приказ об установлении единых (котловых) тарифов на услуги по передаче электрической энергии на территории Калининградской области на 2013 год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>;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2. 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4 квартале 2016 года, в соответствии с Приложением </w:t>
      </w:r>
      <w:r>
        <w:rPr>
          <w:rFonts w:eastAsia="Calibri"/>
          <w:sz w:val="28"/>
          <w:szCs w:val="28"/>
        </w:rPr>
        <w:t>№ 2</w:t>
      </w:r>
      <w:r w:rsidRPr="00C26BEC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3. Принять к сведению Отчет АО «Янтарьэнерго» о погашении просроченной дебиторской задолженности за 12 месяцев 2016 года, сложившейся на 01.01.2016, в соответствии с Приложением </w:t>
      </w:r>
      <w:r>
        <w:rPr>
          <w:rFonts w:eastAsia="Calibri"/>
          <w:sz w:val="28"/>
          <w:szCs w:val="28"/>
        </w:rPr>
        <w:t>№ 3</w:t>
      </w:r>
      <w:r w:rsidRPr="00C26BEC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4. Поручить </w:t>
      </w:r>
      <w:r>
        <w:rPr>
          <w:rFonts w:eastAsia="Calibri"/>
          <w:sz w:val="28"/>
          <w:szCs w:val="28"/>
        </w:rPr>
        <w:t>Е</w:t>
      </w:r>
      <w:r w:rsidRPr="00C26BEC">
        <w:rPr>
          <w:rFonts w:eastAsia="Calibri"/>
          <w:sz w:val="28"/>
          <w:szCs w:val="28"/>
        </w:rPr>
        <w:t>диноличному исполнительному органу Общества: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C26BEC">
        <w:rPr>
          <w:rFonts w:eastAsia="Calibri"/>
          <w:color w:val="000000"/>
          <w:sz w:val="28"/>
          <w:szCs w:val="28"/>
        </w:rPr>
        <w:t>4.1. Обеспечить погашение в 2017 году 184 млн. рублей просроченной дебиторской задолженности из величины, сложившейся на 01.01.2017, в том числе 43 млн. рублей в I квартале 2017 года, 2 млн</w:t>
      </w:r>
      <w:r>
        <w:rPr>
          <w:rFonts w:eastAsia="Calibri"/>
          <w:color w:val="000000"/>
          <w:sz w:val="28"/>
          <w:szCs w:val="28"/>
        </w:rPr>
        <w:t>.</w:t>
      </w:r>
      <w:r w:rsidRPr="00C26BEC">
        <w:rPr>
          <w:rFonts w:eastAsia="Calibri"/>
          <w:color w:val="000000"/>
          <w:sz w:val="28"/>
          <w:szCs w:val="28"/>
        </w:rPr>
        <w:t xml:space="preserve"> рублей во II квартале 2017 года, 140 млн</w:t>
      </w:r>
      <w:r>
        <w:rPr>
          <w:rFonts w:eastAsia="Calibri"/>
          <w:color w:val="000000"/>
          <w:sz w:val="28"/>
          <w:szCs w:val="28"/>
        </w:rPr>
        <w:t>.</w:t>
      </w:r>
      <w:r w:rsidRPr="00C26BEC">
        <w:rPr>
          <w:rFonts w:eastAsia="Calibri"/>
          <w:color w:val="000000"/>
          <w:sz w:val="28"/>
          <w:szCs w:val="28"/>
        </w:rPr>
        <w:t xml:space="preserve"> рублей в IV квартале 2017 года.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4.2. Обеспечить ежеквартальное представление в рамках данного вопроса информации о ходе исполнения поручения, указанного в п. 4.1. настоящего решения.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4.3. Обеспечить вынесение на рассмотрение Совета директоров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начало квартала с отчетом о его выполнении.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Срок   ежеквартально, не позднее 45 дней от начала квартала.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5. Отменить решение Совета директоров Общества от 27.06.2013 (Протокол №24) в части обязанности ОАО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Янтарьэнерго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выносить на утверждение Совета директоров Общест</w:t>
      </w:r>
      <w:r>
        <w:rPr>
          <w:rFonts w:eastAsia="Calibri"/>
          <w:sz w:val="28"/>
          <w:szCs w:val="28"/>
        </w:rPr>
        <w:t>ва План-график мероприятий ОАО «</w:t>
      </w:r>
      <w:r w:rsidRPr="00C26BEC">
        <w:rPr>
          <w:rFonts w:eastAsia="Calibri"/>
          <w:sz w:val="28"/>
          <w:szCs w:val="28"/>
        </w:rPr>
        <w:t>Янтарьэнерго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по снижению просроченной дебиторской задолженности за электрическую энергию и урегулированию разногласий, сложившихся на начало квартала с отчетом о его выполнении.</w:t>
      </w:r>
    </w:p>
    <w:p w:rsidR="006E1538" w:rsidRPr="00C22E82" w:rsidRDefault="006E1538" w:rsidP="00A763C4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4000CD" w:rsidRDefault="007E3309" w:rsidP="007E3309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4000CD" w:rsidRDefault="004000C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4000CD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4000CD" w:rsidRDefault="004000C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13F0" w:rsidRPr="0088629E" w:rsidTr="00AF3036">
        <w:trPr>
          <w:trHeight w:val="310"/>
        </w:trPr>
        <w:tc>
          <w:tcPr>
            <w:tcW w:w="4585" w:type="dxa"/>
          </w:tcPr>
          <w:p w:rsidR="00FF13F0" w:rsidRPr="00FF13F0" w:rsidRDefault="00FF13F0" w:rsidP="007E58E3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F13F0" w:rsidRPr="00FF13F0" w:rsidRDefault="00FF13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Pr="008F0D3E" w:rsidRDefault="00FF13F0" w:rsidP="00FF13F0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8D1604" w:rsidRPr="00E37E5E">
        <w:rPr>
          <w:color w:val="000000"/>
          <w:sz w:val="28"/>
          <w:szCs w:val="28"/>
        </w:rPr>
        <w:t>Об утверждении Методики расчета и оценки выполнения ключевых показателей эффек</w:t>
      </w:r>
      <w:r w:rsidR="008D1604">
        <w:rPr>
          <w:color w:val="000000"/>
          <w:sz w:val="28"/>
          <w:szCs w:val="28"/>
        </w:rPr>
        <w:t xml:space="preserve">тивности Генерального директора </w:t>
      </w:r>
      <w:r w:rsidR="008D1604" w:rsidRPr="00E37E5E">
        <w:rPr>
          <w:color w:val="000000"/>
          <w:sz w:val="28"/>
          <w:szCs w:val="28"/>
        </w:rPr>
        <w:t>АО «Янтарьэнерго» для применения с 2017 года.</w:t>
      </w:r>
    </w:p>
    <w:p w:rsidR="00FF13F0" w:rsidRPr="00C22E82" w:rsidRDefault="00FF13F0" w:rsidP="00FF13F0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B246A6">
        <w:rPr>
          <w:rFonts w:eastAsiaTheme="minorHAnsi"/>
          <w:b/>
          <w:sz w:val="28"/>
          <w:szCs w:val="28"/>
          <w:lang w:eastAsia="en-US"/>
        </w:rPr>
        <w:t>:</w:t>
      </w:r>
      <w:r w:rsidR="00AB4569" w:rsidRPr="00AB4569">
        <w:rPr>
          <w:rFonts w:eastAsia="Calibri"/>
          <w:sz w:val="28"/>
          <w:szCs w:val="28"/>
        </w:rPr>
        <w:t xml:space="preserve"> </w:t>
      </w:r>
      <w:r w:rsidR="00AB4569" w:rsidRPr="00571967">
        <w:rPr>
          <w:rFonts w:eastAsia="Calibri"/>
          <w:sz w:val="28"/>
          <w:szCs w:val="28"/>
        </w:rPr>
        <w:t xml:space="preserve">Утвердить Методику расчета и оценки выполнения ключевых показателей эффективности Генерального директора </w:t>
      </w:r>
      <w:r w:rsidR="00B246A6">
        <w:rPr>
          <w:rFonts w:eastAsia="Calibri"/>
          <w:sz w:val="28"/>
          <w:szCs w:val="28"/>
        </w:rPr>
        <w:t xml:space="preserve">                          </w:t>
      </w:r>
      <w:r w:rsidR="00AB4569" w:rsidRPr="00571967">
        <w:rPr>
          <w:rFonts w:eastAsia="Calibri"/>
          <w:sz w:val="28"/>
          <w:szCs w:val="28"/>
        </w:rPr>
        <w:t xml:space="preserve">АО «Янтарьэнерго» в соответствии с Приложением </w:t>
      </w:r>
      <w:r w:rsidR="00AB4569">
        <w:rPr>
          <w:rFonts w:eastAsia="Calibri"/>
          <w:sz w:val="28"/>
          <w:szCs w:val="28"/>
        </w:rPr>
        <w:t>№ 5</w:t>
      </w:r>
      <w:r w:rsidR="00AB4569" w:rsidRPr="00571967">
        <w:rPr>
          <w:rFonts w:eastAsia="Calibri"/>
          <w:sz w:val="28"/>
          <w:szCs w:val="28"/>
        </w:rPr>
        <w:t xml:space="preserve"> к настоящему решению для применения в системе мотивации с 01.01.2017.</w:t>
      </w:r>
    </w:p>
    <w:p w:rsidR="004000CD" w:rsidRDefault="004000CD" w:rsidP="004000CD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000CD" w:rsidRPr="0088629E" w:rsidTr="0063599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000CD" w:rsidRPr="0088629E" w:rsidTr="0063599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000CD" w:rsidRPr="0088629E" w:rsidRDefault="004000CD" w:rsidP="0063599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000CD" w:rsidRPr="0088629E" w:rsidRDefault="004000CD" w:rsidP="0063599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  <w:tcBorders>
              <w:right w:val="single" w:sz="4" w:space="0" w:color="auto"/>
            </w:tcBorders>
          </w:tcPr>
          <w:p w:rsidR="004000CD" w:rsidRPr="00EE5B74" w:rsidRDefault="004000CD" w:rsidP="0063599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c>
          <w:tcPr>
            <w:tcW w:w="4585" w:type="dxa"/>
          </w:tcPr>
          <w:p w:rsidR="004000CD" w:rsidRPr="004000CD" w:rsidRDefault="004000CD" w:rsidP="00635995">
            <w:pPr>
              <w:rPr>
                <w:color w:val="000000"/>
                <w:sz w:val="24"/>
                <w:szCs w:val="24"/>
              </w:rPr>
            </w:pPr>
            <w:r w:rsidRPr="004000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000CD" w:rsidRPr="004000CD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0C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000CD" w:rsidRPr="0088629E" w:rsidTr="00635995">
        <w:trPr>
          <w:trHeight w:val="310"/>
        </w:trPr>
        <w:tc>
          <w:tcPr>
            <w:tcW w:w="4585" w:type="dxa"/>
          </w:tcPr>
          <w:p w:rsidR="004000CD" w:rsidRPr="00FF13F0" w:rsidRDefault="004000CD" w:rsidP="00635995">
            <w:pPr>
              <w:rPr>
                <w:color w:val="000000"/>
                <w:sz w:val="24"/>
                <w:szCs w:val="24"/>
              </w:rPr>
            </w:pPr>
            <w:r w:rsidRPr="00FF13F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000CD" w:rsidRPr="00FF13F0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</w:t>
            </w:r>
            <w:proofErr w:type="spellStart"/>
            <w:r w:rsidRPr="00FF13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вголосовании</w:t>
            </w:r>
            <w:proofErr w:type="spellEnd"/>
          </w:p>
        </w:tc>
      </w:tr>
      <w:tr w:rsidR="004000CD" w:rsidRPr="0088629E" w:rsidTr="00635995">
        <w:tc>
          <w:tcPr>
            <w:tcW w:w="4585" w:type="dxa"/>
          </w:tcPr>
          <w:p w:rsidR="004000CD" w:rsidRPr="00EE5B74" w:rsidRDefault="004000CD" w:rsidP="00635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000CD" w:rsidRPr="00EE5B74" w:rsidRDefault="004000CD" w:rsidP="0063599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000CD" w:rsidRDefault="004000CD" w:rsidP="004000CD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13F0" w:rsidRDefault="0062730C" w:rsidP="00A763C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FF13F0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8F0D3E" w:rsidRDefault="00FF13F0" w:rsidP="00A763C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1. 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01.01.2017, согласно Приложению </w:t>
      </w:r>
      <w:r>
        <w:rPr>
          <w:rFonts w:eastAsia="Calibri"/>
          <w:sz w:val="28"/>
          <w:szCs w:val="28"/>
        </w:rPr>
        <w:t xml:space="preserve">№ </w:t>
      </w:r>
      <w:r w:rsidRPr="00C26BEC">
        <w:rPr>
          <w:rFonts w:eastAsia="Calibri"/>
          <w:sz w:val="28"/>
          <w:szCs w:val="28"/>
        </w:rPr>
        <w:t>1 к настоящему решению Совета директоров Общества с учетом следующих замечаний: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- по мероприятию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Направление искового заявления (долг, разногласия)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в отношении задолженности, сложившейся в расчетах с ОАО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Янтарьэнергосбыт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за расчетные периоды 2013 года на сумму 120,115 млн</w:t>
      </w:r>
      <w:r>
        <w:rPr>
          <w:rFonts w:eastAsia="Calibri"/>
          <w:sz w:val="28"/>
          <w:szCs w:val="28"/>
        </w:rPr>
        <w:t>.</w:t>
      </w:r>
      <w:r w:rsidRPr="00C26BEC">
        <w:rPr>
          <w:rFonts w:eastAsia="Calibri"/>
          <w:sz w:val="28"/>
          <w:szCs w:val="28"/>
        </w:rPr>
        <w:t xml:space="preserve"> рублей, срок исполнения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I КВ 2017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исправить на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III КВ 2017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>, примечание изложить в следующей редакции: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 xml:space="preserve">Подлежит корректировке по </w:t>
      </w:r>
      <w:proofErr w:type="gramStart"/>
      <w:r w:rsidRPr="00C26BEC">
        <w:rPr>
          <w:rFonts w:eastAsia="Calibri"/>
          <w:sz w:val="28"/>
          <w:szCs w:val="28"/>
        </w:rPr>
        <w:t>результатам  рассмотрения</w:t>
      </w:r>
      <w:proofErr w:type="gramEnd"/>
      <w:r w:rsidRPr="00C26BEC">
        <w:rPr>
          <w:rFonts w:eastAsia="Calibri"/>
          <w:sz w:val="28"/>
          <w:szCs w:val="28"/>
        </w:rPr>
        <w:t xml:space="preserve"> в судебном порядке вопроса об </w:t>
      </w:r>
      <w:proofErr w:type="spellStart"/>
      <w:r w:rsidRPr="00C26BEC">
        <w:rPr>
          <w:rFonts w:eastAsia="Calibri"/>
          <w:sz w:val="28"/>
          <w:szCs w:val="28"/>
        </w:rPr>
        <w:t>обязании</w:t>
      </w:r>
      <w:proofErr w:type="spellEnd"/>
      <w:r w:rsidRPr="00C26BEC">
        <w:rPr>
          <w:rFonts w:eastAsia="Calibri"/>
          <w:sz w:val="28"/>
          <w:szCs w:val="28"/>
        </w:rPr>
        <w:t xml:space="preserve"> Службы по государственному регулированию цен и тарифов Калининградской области издать приказ об установлении единых (котловых) тарифов на услуги по передаче электрической энергии на территории Калининградской области на 2013 год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>;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2. 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4 квартале 2016 года, в соответствии с Приложением </w:t>
      </w:r>
      <w:r>
        <w:rPr>
          <w:rFonts w:eastAsia="Calibri"/>
          <w:sz w:val="28"/>
          <w:szCs w:val="28"/>
        </w:rPr>
        <w:t>№ 2</w:t>
      </w:r>
      <w:r w:rsidRPr="00C26BEC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3. Принять к сведению Отчет АО «Янтарьэнерго» о погашении просроченной дебиторской задолженности за 12 месяцев 2016 года, сложившейся на 01.01.2016, в соответствии с Приложением </w:t>
      </w:r>
      <w:r>
        <w:rPr>
          <w:rFonts w:eastAsia="Calibri"/>
          <w:sz w:val="28"/>
          <w:szCs w:val="28"/>
        </w:rPr>
        <w:t>№ 3</w:t>
      </w:r>
      <w:r w:rsidRPr="00C26BEC">
        <w:rPr>
          <w:rFonts w:eastAsia="Calibri"/>
          <w:sz w:val="28"/>
          <w:szCs w:val="28"/>
        </w:rPr>
        <w:t xml:space="preserve"> к настоящему решению Совета директоров.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4. Поручить </w:t>
      </w:r>
      <w:r>
        <w:rPr>
          <w:rFonts w:eastAsia="Calibri"/>
          <w:sz w:val="28"/>
          <w:szCs w:val="28"/>
        </w:rPr>
        <w:t>Е</w:t>
      </w:r>
      <w:r w:rsidRPr="00C26BEC">
        <w:rPr>
          <w:rFonts w:eastAsia="Calibri"/>
          <w:sz w:val="28"/>
          <w:szCs w:val="28"/>
        </w:rPr>
        <w:t>диноличному исполнительному органу Общества: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C26BEC">
        <w:rPr>
          <w:rFonts w:eastAsia="Calibri"/>
          <w:color w:val="000000"/>
          <w:sz w:val="28"/>
          <w:szCs w:val="28"/>
        </w:rPr>
        <w:lastRenderedPageBreak/>
        <w:t>4.1. Обеспечить погашение в 2017 году 184 млн. рублей просроченной дебиторской задолженности из величины, сложившейся на 01.01.2017, в том числе 43 млн. рублей в I квартале 2017 года, 2 млн</w:t>
      </w:r>
      <w:r>
        <w:rPr>
          <w:rFonts w:eastAsia="Calibri"/>
          <w:color w:val="000000"/>
          <w:sz w:val="28"/>
          <w:szCs w:val="28"/>
        </w:rPr>
        <w:t>.</w:t>
      </w:r>
      <w:r w:rsidRPr="00C26BEC">
        <w:rPr>
          <w:rFonts w:eastAsia="Calibri"/>
          <w:color w:val="000000"/>
          <w:sz w:val="28"/>
          <w:szCs w:val="28"/>
        </w:rPr>
        <w:t xml:space="preserve"> рублей во II квартале 2017 года, 140 млн</w:t>
      </w:r>
      <w:r>
        <w:rPr>
          <w:rFonts w:eastAsia="Calibri"/>
          <w:color w:val="000000"/>
          <w:sz w:val="28"/>
          <w:szCs w:val="28"/>
        </w:rPr>
        <w:t>.</w:t>
      </w:r>
      <w:r w:rsidRPr="00C26BEC">
        <w:rPr>
          <w:rFonts w:eastAsia="Calibri"/>
          <w:color w:val="000000"/>
          <w:sz w:val="28"/>
          <w:szCs w:val="28"/>
        </w:rPr>
        <w:t xml:space="preserve"> рублей в IV квартале 2017 года.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4.2. Обеспечить ежеквартальное представление в рамках данного вопроса информации о ходе исполнения поручения, указанного в п. 4.1. настоящего решения.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4.3. Обеспечить вынесение на рассмотрение Совета директоров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начало квартала с отчетом о его выполнении.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>Срок   ежеквартально, не позднее 45 дней от начала квартала.</w:t>
      </w:r>
    </w:p>
    <w:p w:rsidR="006E1538" w:rsidRPr="00C26BEC" w:rsidRDefault="006E1538" w:rsidP="006E1538">
      <w:pPr>
        <w:pStyle w:val="a7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C26BEC">
        <w:rPr>
          <w:rFonts w:eastAsia="Calibri"/>
          <w:sz w:val="28"/>
          <w:szCs w:val="28"/>
        </w:rPr>
        <w:t xml:space="preserve">5. Отменить решение Совета директоров Общества от 27.06.2013 (Протокол №24) в части обязанности ОАО </w:t>
      </w:r>
      <w:r>
        <w:rPr>
          <w:rFonts w:eastAsia="Calibri"/>
          <w:sz w:val="28"/>
          <w:szCs w:val="28"/>
        </w:rPr>
        <w:t>«</w:t>
      </w:r>
      <w:r w:rsidRPr="00C26BEC">
        <w:rPr>
          <w:rFonts w:eastAsia="Calibri"/>
          <w:sz w:val="28"/>
          <w:szCs w:val="28"/>
        </w:rPr>
        <w:t>Янтарьэнерго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выносить на утверждение Совета директоров Общест</w:t>
      </w:r>
      <w:r>
        <w:rPr>
          <w:rFonts w:eastAsia="Calibri"/>
          <w:sz w:val="28"/>
          <w:szCs w:val="28"/>
        </w:rPr>
        <w:t>ва План-график мероприятий ОАО «</w:t>
      </w:r>
      <w:r w:rsidRPr="00C26BEC">
        <w:rPr>
          <w:rFonts w:eastAsia="Calibri"/>
          <w:sz w:val="28"/>
          <w:szCs w:val="28"/>
        </w:rPr>
        <w:t>Янтарьэнерго</w:t>
      </w:r>
      <w:r>
        <w:rPr>
          <w:rFonts w:eastAsia="Calibri"/>
          <w:sz w:val="28"/>
          <w:szCs w:val="28"/>
        </w:rPr>
        <w:t>»</w:t>
      </w:r>
      <w:r w:rsidRPr="00C26BEC">
        <w:rPr>
          <w:rFonts w:eastAsia="Calibri"/>
          <w:sz w:val="28"/>
          <w:szCs w:val="28"/>
        </w:rPr>
        <w:t xml:space="preserve"> по снижению просроченной дебиторской задолженности за электрическую энергию и урегулированию разногласий, сложившихся на начало квартала с отчетом о его выполнении.</w:t>
      </w:r>
    </w:p>
    <w:p w:rsidR="006E1538" w:rsidRPr="00C22E82" w:rsidRDefault="006E1538" w:rsidP="00A763C4">
      <w:pPr>
        <w:jc w:val="both"/>
        <w:rPr>
          <w:b/>
          <w:sz w:val="28"/>
          <w:szCs w:val="28"/>
        </w:rPr>
      </w:pPr>
    </w:p>
    <w:p w:rsidR="00FF13F0" w:rsidRPr="00C22E82" w:rsidRDefault="00FF13F0" w:rsidP="00FF13F0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B4569" w:rsidRPr="00571967">
        <w:rPr>
          <w:rFonts w:eastAsia="Calibri"/>
          <w:sz w:val="28"/>
          <w:szCs w:val="28"/>
        </w:rPr>
        <w:t xml:space="preserve">Утвердить Методику расчета и оценки выполнения ключевых показателей эффективности Генерального директора АО «Янтарьэнерго» в соответствии с Приложением </w:t>
      </w:r>
      <w:r w:rsidR="00AB4569">
        <w:rPr>
          <w:rFonts w:eastAsia="Calibri"/>
          <w:sz w:val="28"/>
          <w:szCs w:val="28"/>
        </w:rPr>
        <w:t>№ 5</w:t>
      </w:r>
      <w:r w:rsidR="00AB4569" w:rsidRPr="00571967">
        <w:rPr>
          <w:rFonts w:eastAsia="Calibri"/>
          <w:sz w:val="28"/>
          <w:szCs w:val="28"/>
        </w:rPr>
        <w:t xml:space="preserve"> к настоящему решению для применения в системе мотивации с 01.01.2017.</w:t>
      </w:r>
    </w:p>
    <w:p w:rsidR="00AC45F4" w:rsidRPr="00C7055A" w:rsidRDefault="00AC45F4" w:rsidP="00042C69">
      <w:pPr>
        <w:pStyle w:val="a7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03 </w:t>
      </w:r>
      <w:bookmarkStart w:id="0" w:name="_GoBack"/>
      <w:bookmarkEnd w:id="0"/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3F" w:rsidRDefault="00230F3F" w:rsidP="001D1CEA">
      <w:r>
        <w:separator/>
      </w:r>
    </w:p>
  </w:endnote>
  <w:endnote w:type="continuationSeparator" w:id="0">
    <w:p w:rsidR="00230F3F" w:rsidRDefault="00230F3F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3F" w:rsidRDefault="00230F3F" w:rsidP="001D1CEA">
      <w:r>
        <w:separator/>
      </w:r>
    </w:p>
  </w:footnote>
  <w:footnote w:type="continuationSeparator" w:id="0">
    <w:p w:rsidR="00230F3F" w:rsidRDefault="00230F3F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8E">
          <w:rPr>
            <w:noProof/>
          </w:rPr>
          <w:t>3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A6031E"/>
    <w:multiLevelType w:val="hybridMultilevel"/>
    <w:tmpl w:val="FB5A4AB0"/>
    <w:lvl w:ilvl="0" w:tplc="D4F6A24A">
      <w:start w:val="1"/>
      <w:numFmt w:val="decimal"/>
      <w:lvlText w:val="%1."/>
      <w:lvlJc w:val="left"/>
      <w:pPr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2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18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4"/>
  </w:num>
  <w:num w:numId="10">
    <w:abstractNumId w:val="23"/>
  </w:num>
  <w:num w:numId="11">
    <w:abstractNumId w:val="3"/>
  </w:num>
  <w:num w:numId="12">
    <w:abstractNumId w:val="24"/>
  </w:num>
  <w:num w:numId="13">
    <w:abstractNumId w:val="7"/>
  </w:num>
  <w:num w:numId="14">
    <w:abstractNumId w:val="10"/>
  </w:num>
  <w:num w:numId="15">
    <w:abstractNumId w:val="25"/>
  </w:num>
  <w:num w:numId="16">
    <w:abstractNumId w:val="1"/>
  </w:num>
  <w:num w:numId="17">
    <w:abstractNumId w:val="6"/>
  </w:num>
  <w:num w:numId="18">
    <w:abstractNumId w:val="15"/>
  </w:num>
  <w:num w:numId="19">
    <w:abstractNumId w:val="5"/>
  </w:num>
  <w:num w:numId="20">
    <w:abstractNumId w:val="20"/>
  </w:num>
  <w:num w:numId="21">
    <w:abstractNumId w:val="22"/>
  </w:num>
  <w:num w:numId="22">
    <w:abstractNumId w:val="4"/>
  </w:num>
  <w:num w:numId="23">
    <w:abstractNumId w:val="19"/>
  </w:num>
  <w:num w:numId="24">
    <w:abstractNumId w:val="17"/>
  </w:num>
  <w:num w:numId="25">
    <w:abstractNumId w:val="9"/>
  </w:num>
  <w:num w:numId="2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21DF"/>
    <w:rsid w:val="0008357F"/>
    <w:rsid w:val="00084DBC"/>
    <w:rsid w:val="000875C9"/>
    <w:rsid w:val="000948C4"/>
    <w:rsid w:val="00094C45"/>
    <w:rsid w:val="00095778"/>
    <w:rsid w:val="000A2F30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3CCF"/>
    <w:rsid w:val="00294461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1538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C4C81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B4569"/>
    <w:rsid w:val="00AC23DB"/>
    <w:rsid w:val="00AC3412"/>
    <w:rsid w:val="00AC45F4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246A6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90D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13F0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1 Знак,Абзац списка2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3C99-F0BF-46DB-90B9-28A9379A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381</cp:revision>
  <cp:lastPrinted>2016-11-18T11:50:00Z</cp:lastPrinted>
  <dcterms:created xsi:type="dcterms:W3CDTF">2016-06-07T09:14:00Z</dcterms:created>
  <dcterms:modified xsi:type="dcterms:W3CDTF">2017-04-05T12:28:00Z</dcterms:modified>
</cp:coreProperties>
</file>