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1119B4" w:rsidRDefault="001119B4" w:rsidP="00C63B27">
      <w:pPr>
        <w:jc w:val="center"/>
        <w:rPr>
          <w:b/>
          <w:bCs/>
          <w:sz w:val="28"/>
          <w:szCs w:val="28"/>
        </w:rPr>
      </w:pPr>
    </w:p>
    <w:p w:rsidR="0088629E" w:rsidRDefault="0088629E" w:rsidP="00C63B2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8629E">
        <w:rPr>
          <w:b/>
          <w:bCs/>
          <w:sz w:val="28"/>
          <w:szCs w:val="28"/>
        </w:rPr>
        <w:t>ПРОТОКОЛ</w:t>
      </w:r>
    </w:p>
    <w:p w:rsidR="001119B4" w:rsidRDefault="001119B4" w:rsidP="00C63B27">
      <w:pPr>
        <w:jc w:val="center"/>
        <w:rPr>
          <w:b/>
          <w:bCs/>
          <w:sz w:val="28"/>
          <w:szCs w:val="28"/>
        </w:rPr>
      </w:pP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1C44C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9915B5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915B5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9915B5">
        <w:rPr>
          <w:rFonts w:eastAsiaTheme="minorHAnsi"/>
          <w:sz w:val="28"/>
          <w:szCs w:val="28"/>
          <w:lang w:eastAsia="en-US"/>
        </w:rPr>
        <w:t>Комаров В. М.</w:t>
      </w:r>
      <w:r w:rsidRPr="009915B5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9915B5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9915B5">
        <w:rPr>
          <w:rFonts w:eastAsiaTheme="minorHAnsi"/>
          <w:sz w:val="28"/>
          <w:szCs w:val="28"/>
          <w:lang w:eastAsia="en-US"/>
        </w:rPr>
        <w:t>Ящерицына Ю. В.</w:t>
      </w:r>
    </w:p>
    <w:p w:rsidR="009F53A3" w:rsidRPr="00FF13F0" w:rsidRDefault="009F53A3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F13F0">
        <w:rPr>
          <w:rFonts w:eastAsiaTheme="minorHAnsi"/>
          <w:sz w:val="28"/>
          <w:szCs w:val="28"/>
          <w:lang w:eastAsia="en-US"/>
        </w:rPr>
        <w:t>Член Совета директоров Скулкин В. С.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F13F0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F53A3" w:rsidRPr="00FF13F0">
        <w:rPr>
          <w:rFonts w:eastAsiaTheme="minorHAnsi"/>
          <w:sz w:val="28"/>
          <w:szCs w:val="28"/>
          <w:lang w:eastAsia="en-US"/>
        </w:rPr>
        <w:t>6</w:t>
      </w:r>
      <w:r w:rsidRPr="00FF13F0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F13F0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119B4" w:rsidRDefault="001119B4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04B4" w:rsidRPr="00787625" w:rsidRDefault="00ED04B4" w:rsidP="00ED04B4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787625">
        <w:rPr>
          <w:sz w:val="28"/>
          <w:szCs w:val="28"/>
        </w:rPr>
        <w:t>О рассмотрении отчета единоличного исполнительного органа о соответствии документов, подтверждающих ввод в эксплуатацию законченных строительством в 2016 году объектов Общества и его ДЗО, включая соответствие наименований титулов, наличие в утвержденной проектно-сметной документации очередей (пусковых комплексов, этапов), требованиям нормативно-правовых актов и внутренних нормативных документов Общества и о соблюдении Обществом и его ДЗО порядка приемки законченных строительством объектов.</w:t>
      </w:r>
    </w:p>
    <w:p w:rsidR="008F0D3E" w:rsidRDefault="008F0D3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87625" w:rsidRDefault="0088629E" w:rsidP="00787625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787625" w:rsidRPr="00787625">
        <w:rPr>
          <w:sz w:val="28"/>
          <w:szCs w:val="28"/>
        </w:rPr>
        <w:t>О рассмотрении отчета единоличного исполнительного органа о соответствии документов, подтверждающих ввод в эксплуатацию законченных строительством в 2016 году объектов Общества и его ДЗО, включая соответствие наименований титулов, наличие в утвержденной проектно-сметной документации очередей (пусковых комплексов, этапов), требованиям нормативно-правовых актов и внутренних нормативных документов Общества и о соблюдении Обществом и его ДЗО порядка приемки законченных строительством объектов.</w:t>
      </w:r>
    </w:p>
    <w:p w:rsidR="001119B4" w:rsidRDefault="001119B4" w:rsidP="00787625">
      <w:pPr>
        <w:pStyle w:val="a7"/>
        <w:ind w:left="0"/>
        <w:jc w:val="both"/>
        <w:rPr>
          <w:sz w:val="28"/>
          <w:szCs w:val="28"/>
        </w:rPr>
      </w:pPr>
    </w:p>
    <w:p w:rsidR="008F0D3E" w:rsidRDefault="0088629E" w:rsidP="00A763C4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</w:t>
      </w:r>
      <w:r w:rsidR="006E1538">
        <w:rPr>
          <w:rFonts w:eastAsiaTheme="minorHAnsi"/>
          <w:b/>
          <w:sz w:val="28"/>
          <w:szCs w:val="28"/>
          <w:lang w:eastAsia="en-US"/>
        </w:rPr>
        <w:t>:</w:t>
      </w:r>
    </w:p>
    <w:p w:rsidR="00D2788D" w:rsidRDefault="00D2788D" w:rsidP="00D2788D">
      <w:pPr>
        <w:pStyle w:val="a7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Принять к сведению отчет Е</w:t>
      </w:r>
      <w:r>
        <w:rPr>
          <w:sz w:val="28"/>
          <w:szCs w:val="28"/>
        </w:rPr>
        <w:t xml:space="preserve">диноличного исполнительного органа </w:t>
      </w:r>
      <w:r>
        <w:rPr>
          <w:rFonts w:eastAsia="SimSun"/>
          <w:sz w:val="28"/>
          <w:szCs w:val="28"/>
        </w:rPr>
        <w:t>Общества «О соответствии документов, подтверждающих ввод в эксплуатацию законченных строительством в 2016 году объектов Общества, включая соответствие наименований титулов, наличие в утвержденной проектно-сметной документации очередей (пусковых комплексов, этапов), требованиям нормативно-правовых актов и внутренних нормативных документов Общества и о соблюдении Обществом порядка приемки законченных строительством объектов»</w:t>
      </w:r>
      <w:r w:rsidRPr="00D2670A">
        <w:rPr>
          <w:rFonts w:eastAsia="SimSun"/>
          <w:sz w:val="28"/>
          <w:szCs w:val="28"/>
        </w:rPr>
        <w:t xml:space="preserve"> </w:t>
      </w:r>
      <w:r w:rsidRPr="00A05E48">
        <w:rPr>
          <w:rFonts w:eastAsia="SimSun"/>
          <w:sz w:val="28"/>
          <w:szCs w:val="28"/>
        </w:rPr>
        <w:t>в соответствии с Приложением № 1 к настоящему решению Совета директоров</w:t>
      </w:r>
      <w:r>
        <w:rPr>
          <w:rFonts w:eastAsia="SimSun"/>
          <w:sz w:val="28"/>
          <w:szCs w:val="28"/>
        </w:rPr>
        <w:t>.</w:t>
      </w:r>
    </w:p>
    <w:p w:rsidR="00D2788D" w:rsidRPr="006A031B" w:rsidRDefault="00D2788D" w:rsidP="00D2788D">
      <w:pPr>
        <w:pStyle w:val="a7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Отметить информацию </w:t>
      </w:r>
      <w:r>
        <w:rPr>
          <w:rFonts w:eastAsia="SimSun"/>
          <w:sz w:val="28"/>
          <w:szCs w:val="28"/>
        </w:rPr>
        <w:t>Единоличного исполнительного органа</w:t>
      </w:r>
      <w:r>
        <w:rPr>
          <w:bCs/>
          <w:color w:val="000000"/>
          <w:sz w:val="28"/>
          <w:szCs w:val="28"/>
        </w:rPr>
        <w:t xml:space="preserve"> Общества о</w:t>
      </w:r>
      <w:r w:rsidRPr="006A031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наличии отклонений от требований организационно-распорядительных документов Общества и законодательных норм, регламентирующих порядок приемки в эксплуатацию законченных строительством объектов </w:t>
      </w:r>
      <w:r w:rsidRPr="00D2670A">
        <w:rPr>
          <w:rFonts w:eastAsia="SimSun"/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титул «Реконструкция с заменой КЛ 6 кВ ТП-99 - ТП-109 (инв. №№ 542880207, 542880409, 542880710) в г. Калининграде» принят в эксплуатацию при отсутствии разрешения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на допуск в постоянную эксплуатацию энергоустановки</w:t>
      </w:r>
      <w:r w:rsidRPr="00D2670A">
        <w:rPr>
          <w:rFonts w:eastAsia="SimSun"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D2788D" w:rsidRPr="006A031B" w:rsidRDefault="00D2788D" w:rsidP="00D2788D">
      <w:pPr>
        <w:pStyle w:val="a7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proofErr w:type="gramStart"/>
      <w:r w:rsidRPr="006A031B">
        <w:rPr>
          <w:rFonts w:eastAsia="SimSun"/>
          <w:sz w:val="28"/>
          <w:szCs w:val="28"/>
        </w:rPr>
        <w:t>Отметить  отсутствие</w:t>
      </w:r>
      <w:proofErr w:type="gramEnd"/>
      <w:r w:rsidRPr="006A031B">
        <w:rPr>
          <w:rFonts w:eastAsia="SimSun"/>
          <w:sz w:val="28"/>
          <w:szCs w:val="28"/>
        </w:rPr>
        <w:t xml:space="preserve"> информации о мерах реагирования менеджмента Общества, направленных на устранение фактов </w:t>
      </w:r>
      <w:r>
        <w:rPr>
          <w:rFonts w:eastAsia="SimSun"/>
          <w:sz w:val="28"/>
          <w:szCs w:val="28"/>
        </w:rPr>
        <w:t>отклонений от</w:t>
      </w:r>
      <w:r w:rsidRPr="006A031B">
        <w:rPr>
          <w:rFonts w:eastAsia="SimSun"/>
          <w:sz w:val="28"/>
          <w:szCs w:val="28"/>
        </w:rPr>
        <w:t xml:space="preserve"> требований организационно-распорядительных документов Общества и законодательных норм, регламентирующих порядок приемки в эксплуатацию законченных строительством объектов, и недопущения их в дальнейшем, а также о принятых мерах к должностным лицам, допустившим указанные </w:t>
      </w:r>
      <w:r>
        <w:rPr>
          <w:rFonts w:eastAsia="SimSun"/>
          <w:sz w:val="28"/>
          <w:szCs w:val="28"/>
        </w:rPr>
        <w:t>отклонения</w:t>
      </w:r>
      <w:r w:rsidRPr="006A031B">
        <w:rPr>
          <w:rFonts w:eastAsia="SimSun"/>
          <w:sz w:val="28"/>
          <w:szCs w:val="28"/>
        </w:rPr>
        <w:t>.</w:t>
      </w:r>
    </w:p>
    <w:p w:rsidR="00D2788D" w:rsidRDefault="00D2788D" w:rsidP="00D2788D">
      <w:pPr>
        <w:pStyle w:val="a7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Рекомендовать Ревизионной комиссии Общества рассмотреть </w:t>
      </w:r>
      <w:r>
        <w:rPr>
          <w:bCs/>
          <w:color w:val="000000"/>
          <w:sz w:val="28"/>
          <w:szCs w:val="28"/>
        </w:rPr>
        <w:t>информацию Общества о</w:t>
      </w:r>
      <w:r>
        <w:rPr>
          <w:rFonts w:eastAsia="SimSun"/>
          <w:sz w:val="28"/>
          <w:szCs w:val="28"/>
        </w:rPr>
        <w:t xml:space="preserve"> соответствии документов, подтверждающих ввод в эксплуатацию законченных строительством в 2016 году объектов Общества, включая соответствие наименований титулов, наличие в утвержденной проектно-сметной документации очередей (пусковых комплексов, этапов), требованиям нормативно-правовых актов и внутренних нормативных документов Общества и о соблюдении Обществом порядка приемки законченных строительством объектов</w:t>
      </w:r>
      <w:r>
        <w:rPr>
          <w:bCs/>
          <w:iCs/>
          <w:color w:val="000000"/>
          <w:kern w:val="24"/>
          <w:sz w:val="28"/>
          <w:szCs w:val="28"/>
          <w:lang w:bidi="ru-RU"/>
        </w:rPr>
        <w:t>.</w:t>
      </w:r>
    </w:p>
    <w:p w:rsidR="00D2788D" w:rsidRDefault="00D2788D" w:rsidP="00D2788D">
      <w:pPr>
        <w:pStyle w:val="a7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Единоличному исполнительному органу АО «Янтарьэнерго»:</w:t>
      </w:r>
    </w:p>
    <w:p w:rsidR="00D2788D" w:rsidRDefault="00D2788D" w:rsidP="00D2788D">
      <w:pPr>
        <w:pStyle w:val="a7"/>
        <w:numPr>
          <w:ilvl w:val="1"/>
          <w:numId w:val="27"/>
        </w:numPr>
        <w:tabs>
          <w:tab w:val="left" w:pos="1134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Установить должностных лиц АО «Янтарьэнерго», в результате действий (бездействий) которых допущены отклонения от требований организационно-распорядительных документов Общества и законодательных норм, регламентирующих порядок приемки в эксплуатацию законченных строительством объектов и принять к ним соответствующие меры.</w:t>
      </w:r>
    </w:p>
    <w:p w:rsidR="00D2788D" w:rsidRDefault="00D2788D" w:rsidP="00D2788D">
      <w:pPr>
        <w:pStyle w:val="a7"/>
        <w:numPr>
          <w:ilvl w:val="1"/>
          <w:numId w:val="27"/>
        </w:numPr>
        <w:tabs>
          <w:tab w:val="left" w:pos="1134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Разработать комплекс мероприятий, направленный на устранение фактов отклонений от требований организационно-распорядительных документов Общества и законодательных норм, регламентирующих порядок приемки в эксплуатацию законченных строительством объектов, и недопущения их в дальнейшем. </w:t>
      </w:r>
    </w:p>
    <w:p w:rsidR="00D2788D" w:rsidRDefault="00D2788D" w:rsidP="00D2788D">
      <w:pPr>
        <w:pStyle w:val="a7"/>
        <w:numPr>
          <w:ilvl w:val="1"/>
          <w:numId w:val="27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Обеспечить вынесение на рассмотрение Комитета по аудиту Совета директоров АО «Янтарьэнерго» информации о ходе реализации мероприятий, разработанных в соответствии с п. 5.2 настоящего решения.  </w:t>
      </w:r>
    </w:p>
    <w:p w:rsidR="00D2788D" w:rsidRDefault="00D2788D" w:rsidP="00D2788D">
      <w:pPr>
        <w:pStyle w:val="a7"/>
        <w:suppressAutoHyphens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– в течении </w:t>
      </w:r>
      <w:r w:rsidRPr="006A031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0 дней с даты принятия настоящего решения.</w:t>
      </w:r>
    </w:p>
    <w:p w:rsidR="00B80D98" w:rsidRPr="00D2670A" w:rsidRDefault="00B80D98" w:rsidP="00D2788D">
      <w:pPr>
        <w:pStyle w:val="a7"/>
        <w:suppressAutoHyphens/>
        <w:ind w:left="0" w:firstLine="709"/>
        <w:jc w:val="both"/>
        <w:rPr>
          <w:rFonts w:eastAsia="Calibri"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4000CD" w:rsidRDefault="007E3309" w:rsidP="007E3309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4000CD" w:rsidRDefault="004000CD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4000CD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4000CD" w:rsidRDefault="004000CD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13F0" w:rsidRPr="0088629E" w:rsidTr="00AF3036">
        <w:trPr>
          <w:trHeight w:val="310"/>
        </w:trPr>
        <w:tc>
          <w:tcPr>
            <w:tcW w:w="4585" w:type="dxa"/>
          </w:tcPr>
          <w:p w:rsidR="00FF13F0" w:rsidRPr="00FF13F0" w:rsidRDefault="00FF13F0" w:rsidP="007E58E3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F13F0" w:rsidRPr="00FF13F0" w:rsidRDefault="00FF13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F0D3E" w:rsidRDefault="0062730C" w:rsidP="00A763C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1C44C1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1C44C1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D2788D" w:rsidRPr="00B80D98" w:rsidRDefault="00D2788D" w:rsidP="00B80D98">
      <w:pPr>
        <w:pStyle w:val="a7"/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color w:val="000000"/>
          <w:sz w:val="28"/>
          <w:szCs w:val="28"/>
        </w:rPr>
      </w:pPr>
      <w:r w:rsidRPr="00B80D98">
        <w:rPr>
          <w:bCs/>
          <w:color w:val="000000"/>
          <w:sz w:val="28"/>
          <w:szCs w:val="28"/>
        </w:rPr>
        <w:t>Принять к сведению отчет Единоличного исполнительного органа Общества «О соответствии документов, подтверждающих ввод в эксплуатацию законченных строительством в 2016 году объектов Общества, включая соответствие наименований титулов, наличие в утвержденной проектно-сметной документации очередей (пусковых комплексов, этапов), требованиям нормативно-правовых актов и внутренних нормативных документов Общества и о соблюдении Обществом порядка приемки законченных строительством объектов» в соответствии с Приложением № 1 к настоящему решению Совета директоров.</w:t>
      </w:r>
    </w:p>
    <w:p w:rsidR="00D2788D" w:rsidRPr="006A031B" w:rsidRDefault="00D2788D" w:rsidP="00D2788D">
      <w:pPr>
        <w:pStyle w:val="a7"/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Отметить информацию </w:t>
      </w:r>
      <w:r>
        <w:rPr>
          <w:rFonts w:eastAsia="SimSun"/>
          <w:sz w:val="28"/>
          <w:szCs w:val="28"/>
        </w:rPr>
        <w:t>Единоличного исполнительного органа</w:t>
      </w:r>
      <w:r>
        <w:rPr>
          <w:bCs/>
          <w:color w:val="000000"/>
          <w:sz w:val="28"/>
          <w:szCs w:val="28"/>
        </w:rPr>
        <w:t xml:space="preserve"> Общества о</w:t>
      </w:r>
      <w:r w:rsidRPr="006A031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наличии отклонений от требований организационно-распорядительных документов Общества и законодательных норм, регламентирующих порядок приемки в эксплуатацию законченных строительством объектов </w:t>
      </w:r>
      <w:r w:rsidRPr="00D2670A">
        <w:rPr>
          <w:rFonts w:eastAsia="SimSun"/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титул «Реконструкция с заменой КЛ 6 кВ ТП-99 - ТП-109 (инв. №№ 542880207, 542880409, 542880710) в г. Калининграде» принят в эксплуатацию при отсутствии разрешения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на допуск в постоянную эксплуатацию энергоустановки</w:t>
      </w:r>
      <w:r w:rsidRPr="00D2670A">
        <w:rPr>
          <w:rFonts w:eastAsia="SimSun"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D2788D" w:rsidRPr="006A031B" w:rsidRDefault="00D2788D" w:rsidP="00D2788D">
      <w:pPr>
        <w:pStyle w:val="a7"/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proofErr w:type="gramStart"/>
      <w:r w:rsidRPr="006A031B">
        <w:rPr>
          <w:rFonts w:eastAsia="SimSun"/>
          <w:sz w:val="28"/>
          <w:szCs w:val="28"/>
        </w:rPr>
        <w:t>Отметить  отсутствие</w:t>
      </w:r>
      <w:proofErr w:type="gramEnd"/>
      <w:r w:rsidRPr="006A031B">
        <w:rPr>
          <w:rFonts w:eastAsia="SimSun"/>
          <w:sz w:val="28"/>
          <w:szCs w:val="28"/>
        </w:rPr>
        <w:t xml:space="preserve"> информации о мерах реагирования менеджмента Общества, направленных на устранение фактов </w:t>
      </w:r>
      <w:r>
        <w:rPr>
          <w:rFonts w:eastAsia="SimSun"/>
          <w:sz w:val="28"/>
          <w:szCs w:val="28"/>
        </w:rPr>
        <w:t>отклонений от</w:t>
      </w:r>
      <w:r w:rsidRPr="006A031B">
        <w:rPr>
          <w:rFonts w:eastAsia="SimSun"/>
          <w:sz w:val="28"/>
          <w:szCs w:val="28"/>
        </w:rPr>
        <w:t xml:space="preserve"> требований организационно-распорядительных документов Общества и законодательных норм, регламентирующих порядок приемки в эксплуатацию законченных строительством объектов, и недопущения их в дальнейшем, а также о принятых мерах к должностным лицам, допустившим указанные </w:t>
      </w:r>
      <w:r>
        <w:rPr>
          <w:rFonts w:eastAsia="SimSun"/>
          <w:sz w:val="28"/>
          <w:szCs w:val="28"/>
        </w:rPr>
        <w:t>отклонения</w:t>
      </w:r>
      <w:r w:rsidRPr="006A031B">
        <w:rPr>
          <w:rFonts w:eastAsia="SimSun"/>
          <w:sz w:val="28"/>
          <w:szCs w:val="28"/>
        </w:rPr>
        <w:t>.</w:t>
      </w:r>
    </w:p>
    <w:p w:rsidR="00D2788D" w:rsidRDefault="00D2788D" w:rsidP="00D2788D">
      <w:pPr>
        <w:pStyle w:val="a7"/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Рекомендовать Ревизионной комиссии Общества рассмотреть </w:t>
      </w:r>
      <w:r>
        <w:rPr>
          <w:bCs/>
          <w:color w:val="000000"/>
          <w:sz w:val="28"/>
          <w:szCs w:val="28"/>
        </w:rPr>
        <w:t>информацию Общества о</w:t>
      </w:r>
      <w:r>
        <w:rPr>
          <w:rFonts w:eastAsia="SimSun"/>
          <w:sz w:val="28"/>
          <w:szCs w:val="28"/>
        </w:rPr>
        <w:t xml:space="preserve"> соответствии документов, подтверждающих ввод в эксплуатацию законченных строительством в 2016 году объектов Общества, включая соответствие наименований титулов, наличие в утвержденной проектно-сметной документации очередей (пусковых комплексов, этапов), требованиям нормативно-правовых актов и внутренних нормативных документов Общества и о соблюдении Обществом порядка приемки законченных строительством объектов</w:t>
      </w:r>
      <w:r>
        <w:rPr>
          <w:bCs/>
          <w:iCs/>
          <w:color w:val="000000"/>
          <w:kern w:val="24"/>
          <w:sz w:val="28"/>
          <w:szCs w:val="28"/>
          <w:lang w:bidi="ru-RU"/>
        </w:rPr>
        <w:t>.</w:t>
      </w:r>
    </w:p>
    <w:p w:rsidR="00D2788D" w:rsidRDefault="00D2788D" w:rsidP="00D2788D">
      <w:pPr>
        <w:pStyle w:val="a7"/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Единоличному исполнительному органу АО «Янтарьэнерго»:</w:t>
      </w:r>
    </w:p>
    <w:p w:rsidR="00D2788D" w:rsidRDefault="00D2788D" w:rsidP="00D2788D">
      <w:pPr>
        <w:pStyle w:val="a7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Установить должностных лиц АО «Янтарьэнерго», в результате действий (бездействий) которых допущены отклонения от требований организационно-</w:t>
      </w:r>
      <w:r>
        <w:rPr>
          <w:rFonts w:eastAsia="SimSun"/>
          <w:sz w:val="28"/>
          <w:szCs w:val="28"/>
        </w:rPr>
        <w:lastRenderedPageBreak/>
        <w:t>распорядительных документов Общества и законодательных норм, регламентирующих порядок приемки в эксплуатацию законченных строительством объектов и принять к ним соответствующие меры.</w:t>
      </w:r>
    </w:p>
    <w:p w:rsidR="00D2788D" w:rsidRDefault="00D2788D" w:rsidP="00D2788D">
      <w:pPr>
        <w:pStyle w:val="a7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Разработать комплекс мероприятий, направленный на устранение фактов отклонений от требований организационно-распорядительных документов Общества и законодательных норм, регламентирующих порядок приемки в эксплуатацию законченных строительством объектов, и недопущения их в дальнейшем. </w:t>
      </w:r>
    </w:p>
    <w:p w:rsidR="00D2788D" w:rsidRDefault="00D2788D" w:rsidP="00D2788D">
      <w:pPr>
        <w:pStyle w:val="a7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Обеспечить вынесение на рассмотрение Комитета по аудиту Совета директоров АО «Янтарьэнерго» информации о ходе реализации мероприятий, разработанных в соответствии с п. 5.2 настоящего решения.  </w:t>
      </w:r>
    </w:p>
    <w:p w:rsidR="00D2788D" w:rsidRPr="00D2670A" w:rsidRDefault="00D2788D" w:rsidP="00D2788D">
      <w:pPr>
        <w:pStyle w:val="a7"/>
        <w:suppressAutoHyphens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– в течении </w:t>
      </w:r>
      <w:r w:rsidRPr="006A031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0 дней с даты принятия настоящего решения.</w:t>
      </w:r>
    </w:p>
    <w:p w:rsidR="00787625" w:rsidRDefault="00787625" w:rsidP="00A763C4">
      <w:pPr>
        <w:jc w:val="both"/>
        <w:rPr>
          <w:rFonts w:eastAsiaTheme="minorHAnsi"/>
          <w:sz w:val="28"/>
          <w:szCs w:val="28"/>
          <w:lang w:eastAsia="en-US"/>
        </w:rPr>
      </w:pPr>
    </w:p>
    <w:p w:rsidR="001C6172" w:rsidRDefault="001C6172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1C44C1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605DA" w:rsidRDefault="007605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BB42AC" w:rsidRDefault="00BB42AC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CA" w:rsidRDefault="00337CCA" w:rsidP="001D1CEA">
      <w:r>
        <w:separator/>
      </w:r>
    </w:p>
  </w:endnote>
  <w:endnote w:type="continuationSeparator" w:id="0">
    <w:p w:rsidR="00337CCA" w:rsidRDefault="00337CCA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CA" w:rsidRDefault="00337CCA" w:rsidP="001D1CEA">
      <w:r>
        <w:separator/>
      </w:r>
    </w:p>
  </w:footnote>
  <w:footnote w:type="continuationSeparator" w:id="0">
    <w:p w:rsidR="00337CCA" w:rsidRDefault="00337CCA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9B4">
          <w:rPr>
            <w:noProof/>
          </w:rPr>
          <w:t>4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3D9"/>
    <w:multiLevelType w:val="multilevel"/>
    <w:tmpl w:val="36967C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061A3785"/>
    <w:multiLevelType w:val="multilevel"/>
    <w:tmpl w:val="36967C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DC4AD3"/>
    <w:multiLevelType w:val="multilevel"/>
    <w:tmpl w:val="36967C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 w15:restartNumberingAfterBreak="0">
    <w:nsid w:val="211C6A7B"/>
    <w:multiLevelType w:val="multilevel"/>
    <w:tmpl w:val="36967C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8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A6031E"/>
    <w:multiLevelType w:val="hybridMultilevel"/>
    <w:tmpl w:val="FB5A4AB0"/>
    <w:lvl w:ilvl="0" w:tplc="D4F6A24A">
      <w:start w:val="1"/>
      <w:numFmt w:val="decimal"/>
      <w:lvlText w:val="%1."/>
      <w:lvlJc w:val="left"/>
      <w:pPr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6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25"/>
  </w:num>
  <w:num w:numId="4">
    <w:abstractNumId w:val="22"/>
  </w:num>
  <w:num w:numId="5">
    <w:abstractNumId w:val="20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27"/>
  </w:num>
  <w:num w:numId="11">
    <w:abstractNumId w:val="5"/>
  </w:num>
  <w:num w:numId="12">
    <w:abstractNumId w:val="28"/>
  </w:num>
  <w:num w:numId="13">
    <w:abstractNumId w:val="11"/>
  </w:num>
  <w:num w:numId="14">
    <w:abstractNumId w:val="14"/>
  </w:num>
  <w:num w:numId="15">
    <w:abstractNumId w:val="29"/>
  </w:num>
  <w:num w:numId="16">
    <w:abstractNumId w:val="3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26"/>
  </w:num>
  <w:num w:numId="22">
    <w:abstractNumId w:val="8"/>
  </w:num>
  <w:num w:numId="23">
    <w:abstractNumId w:val="23"/>
  </w:num>
  <w:num w:numId="24">
    <w:abstractNumId w:val="21"/>
  </w:num>
  <w:num w:numId="25">
    <w:abstractNumId w:val="13"/>
  </w:num>
  <w:num w:numId="26">
    <w:abstractNumId w:val="1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"/>
  </w:num>
  <w:num w:numId="3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821DF"/>
    <w:rsid w:val="0008357F"/>
    <w:rsid w:val="00084DBC"/>
    <w:rsid w:val="000875C9"/>
    <w:rsid w:val="000948C4"/>
    <w:rsid w:val="00094C45"/>
    <w:rsid w:val="00095778"/>
    <w:rsid w:val="000A2F30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280"/>
    <w:rsid w:val="00107C9D"/>
    <w:rsid w:val="001119B4"/>
    <w:rsid w:val="00124045"/>
    <w:rsid w:val="00124763"/>
    <w:rsid w:val="001254F4"/>
    <w:rsid w:val="00125D44"/>
    <w:rsid w:val="00134C0D"/>
    <w:rsid w:val="00135D9F"/>
    <w:rsid w:val="001461FE"/>
    <w:rsid w:val="0014757E"/>
    <w:rsid w:val="00156071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B5A41"/>
    <w:rsid w:val="001C1F24"/>
    <w:rsid w:val="001C299B"/>
    <w:rsid w:val="001C430C"/>
    <w:rsid w:val="001C44C1"/>
    <w:rsid w:val="001C5B03"/>
    <w:rsid w:val="001C5D74"/>
    <w:rsid w:val="001C6172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14B5"/>
    <w:rsid w:val="00293CCF"/>
    <w:rsid w:val="00294461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3056"/>
    <w:rsid w:val="002D3C1F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37CCA"/>
    <w:rsid w:val="003412F4"/>
    <w:rsid w:val="0034649B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F2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2F00"/>
    <w:rsid w:val="00474343"/>
    <w:rsid w:val="00474E7B"/>
    <w:rsid w:val="00481A0F"/>
    <w:rsid w:val="004839AB"/>
    <w:rsid w:val="00486834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3B73"/>
    <w:rsid w:val="00677578"/>
    <w:rsid w:val="00682FA7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1538"/>
    <w:rsid w:val="006E4428"/>
    <w:rsid w:val="006F34F8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87625"/>
    <w:rsid w:val="00790FFB"/>
    <w:rsid w:val="0079344E"/>
    <w:rsid w:val="007939F9"/>
    <w:rsid w:val="00797EBD"/>
    <w:rsid w:val="007A526E"/>
    <w:rsid w:val="007A54F9"/>
    <w:rsid w:val="007A5EF6"/>
    <w:rsid w:val="007A77E9"/>
    <w:rsid w:val="007B0AFC"/>
    <w:rsid w:val="007B0C11"/>
    <w:rsid w:val="007B15BA"/>
    <w:rsid w:val="007B4935"/>
    <w:rsid w:val="007B72DF"/>
    <w:rsid w:val="007C14A6"/>
    <w:rsid w:val="007C180D"/>
    <w:rsid w:val="007C4C81"/>
    <w:rsid w:val="007D048E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D29C3"/>
    <w:rsid w:val="009E1DD1"/>
    <w:rsid w:val="009E29D1"/>
    <w:rsid w:val="009E47CC"/>
    <w:rsid w:val="009E4991"/>
    <w:rsid w:val="009E7FCC"/>
    <w:rsid w:val="009F1F66"/>
    <w:rsid w:val="009F2F7D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63C4"/>
    <w:rsid w:val="00A80807"/>
    <w:rsid w:val="00A8152E"/>
    <w:rsid w:val="00A81F67"/>
    <w:rsid w:val="00A82D7D"/>
    <w:rsid w:val="00A86D99"/>
    <w:rsid w:val="00A913B7"/>
    <w:rsid w:val="00A91A92"/>
    <w:rsid w:val="00A92194"/>
    <w:rsid w:val="00A93850"/>
    <w:rsid w:val="00A960C3"/>
    <w:rsid w:val="00AA0D6A"/>
    <w:rsid w:val="00AA2169"/>
    <w:rsid w:val="00AA4C91"/>
    <w:rsid w:val="00AB1187"/>
    <w:rsid w:val="00AB4569"/>
    <w:rsid w:val="00AC23DB"/>
    <w:rsid w:val="00AC3412"/>
    <w:rsid w:val="00AC45F4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20080"/>
    <w:rsid w:val="00B20945"/>
    <w:rsid w:val="00B21257"/>
    <w:rsid w:val="00B22012"/>
    <w:rsid w:val="00B2301C"/>
    <w:rsid w:val="00B2327D"/>
    <w:rsid w:val="00B246A6"/>
    <w:rsid w:val="00B34F54"/>
    <w:rsid w:val="00B351F1"/>
    <w:rsid w:val="00B424A9"/>
    <w:rsid w:val="00B441C0"/>
    <w:rsid w:val="00B469B5"/>
    <w:rsid w:val="00B54F8A"/>
    <w:rsid w:val="00B551A0"/>
    <w:rsid w:val="00B557E2"/>
    <w:rsid w:val="00B61864"/>
    <w:rsid w:val="00B6281B"/>
    <w:rsid w:val="00B63719"/>
    <w:rsid w:val="00B71163"/>
    <w:rsid w:val="00B715B8"/>
    <w:rsid w:val="00B74FD3"/>
    <w:rsid w:val="00B7529F"/>
    <w:rsid w:val="00B77E21"/>
    <w:rsid w:val="00B801B5"/>
    <w:rsid w:val="00B80D98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90D"/>
    <w:rsid w:val="00BB2D4F"/>
    <w:rsid w:val="00BB3675"/>
    <w:rsid w:val="00BB42AC"/>
    <w:rsid w:val="00BB54CE"/>
    <w:rsid w:val="00BB6366"/>
    <w:rsid w:val="00BC1202"/>
    <w:rsid w:val="00BC208C"/>
    <w:rsid w:val="00BC35BE"/>
    <w:rsid w:val="00BD051A"/>
    <w:rsid w:val="00BD2CEB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81C"/>
    <w:rsid w:val="00D132A9"/>
    <w:rsid w:val="00D1619F"/>
    <w:rsid w:val="00D23534"/>
    <w:rsid w:val="00D26359"/>
    <w:rsid w:val="00D26C74"/>
    <w:rsid w:val="00D2788D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7B85"/>
    <w:rsid w:val="00E42DFE"/>
    <w:rsid w:val="00E47381"/>
    <w:rsid w:val="00E5203F"/>
    <w:rsid w:val="00E557E3"/>
    <w:rsid w:val="00E57D29"/>
    <w:rsid w:val="00E62EF0"/>
    <w:rsid w:val="00E63D55"/>
    <w:rsid w:val="00E661BB"/>
    <w:rsid w:val="00E724A9"/>
    <w:rsid w:val="00E737D8"/>
    <w:rsid w:val="00E73E00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4B4"/>
    <w:rsid w:val="00ED08D0"/>
    <w:rsid w:val="00ED0A72"/>
    <w:rsid w:val="00ED0CBA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92E"/>
    <w:rsid w:val="00F326CB"/>
    <w:rsid w:val="00F32B07"/>
    <w:rsid w:val="00F3536C"/>
    <w:rsid w:val="00F366AD"/>
    <w:rsid w:val="00F37BE4"/>
    <w:rsid w:val="00F41F43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13F0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8B53-69F5-447E-8406-EFE031DA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389</cp:revision>
  <cp:lastPrinted>2016-11-18T11:50:00Z</cp:lastPrinted>
  <dcterms:created xsi:type="dcterms:W3CDTF">2016-06-07T09:14:00Z</dcterms:created>
  <dcterms:modified xsi:type="dcterms:W3CDTF">2017-05-02T07:35:00Z</dcterms:modified>
</cp:coreProperties>
</file>