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8700A6" w:rsidRDefault="00A16A29" w:rsidP="008700A6">
      <w:pPr>
        <w:ind w:left="1276"/>
        <w:contextualSpacing/>
        <w:jc w:val="right"/>
        <w:rPr>
          <w:color w:val="000000"/>
          <w:sz w:val="28"/>
          <w:szCs w:val="28"/>
        </w:rPr>
      </w:pPr>
      <w:r w:rsidRPr="008700A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00A6">
        <w:rPr>
          <w:color w:val="000000"/>
          <w:sz w:val="28"/>
          <w:szCs w:val="28"/>
        </w:rPr>
        <w:t>Акционерное общество</w:t>
      </w:r>
    </w:p>
    <w:p w:rsidR="00A16A29" w:rsidRPr="008700A6" w:rsidRDefault="00A16A29" w:rsidP="008700A6">
      <w:pPr>
        <w:ind w:left="1276"/>
        <w:contextualSpacing/>
        <w:jc w:val="right"/>
        <w:rPr>
          <w:color w:val="000000"/>
          <w:sz w:val="28"/>
          <w:szCs w:val="28"/>
        </w:rPr>
      </w:pPr>
      <w:r w:rsidRPr="008700A6">
        <w:rPr>
          <w:color w:val="000000"/>
          <w:sz w:val="28"/>
          <w:szCs w:val="28"/>
        </w:rPr>
        <w:t>«Россети Янтарь»</w:t>
      </w:r>
    </w:p>
    <w:p w:rsidR="006063CD" w:rsidRPr="008700A6" w:rsidRDefault="006063CD" w:rsidP="008700A6">
      <w:pPr>
        <w:contextualSpacing/>
        <w:rPr>
          <w:sz w:val="28"/>
          <w:szCs w:val="28"/>
        </w:rPr>
      </w:pPr>
    </w:p>
    <w:p w:rsidR="00A16A29" w:rsidRPr="008700A6" w:rsidRDefault="00A16A29" w:rsidP="008700A6">
      <w:pPr>
        <w:contextualSpacing/>
        <w:rPr>
          <w:rFonts w:eastAsia="NSimSun"/>
          <w:kern w:val="2"/>
          <w:sz w:val="28"/>
          <w:szCs w:val="28"/>
          <w:lang w:eastAsia="zh-CN" w:bidi="hi-IN"/>
        </w:rPr>
      </w:pPr>
    </w:p>
    <w:p w:rsidR="00FE76E2" w:rsidRPr="008700A6" w:rsidRDefault="00FE76E2" w:rsidP="008700A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8700A6" w:rsidRDefault="00FE76E2" w:rsidP="008700A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8700A6">
        <w:rPr>
          <w:rFonts w:eastAsiaTheme="minorHAnsi"/>
          <w:sz w:val="28"/>
          <w:szCs w:val="28"/>
          <w:lang w:eastAsia="en-US"/>
        </w:rPr>
        <w:t>Россети Янтарь</w:t>
      </w:r>
      <w:r w:rsidRPr="008700A6">
        <w:rPr>
          <w:rFonts w:eastAsiaTheme="minorHAnsi"/>
          <w:sz w:val="28"/>
          <w:szCs w:val="28"/>
          <w:lang w:eastAsia="en-US"/>
        </w:rPr>
        <w:t>»</w:t>
      </w:r>
    </w:p>
    <w:p w:rsidR="00FE76E2" w:rsidRPr="008700A6" w:rsidRDefault="00FE76E2" w:rsidP="008700A6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8700A6" w:rsidRDefault="00CF1E3D" w:rsidP="008700A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bCs/>
          <w:sz w:val="28"/>
          <w:szCs w:val="28"/>
          <w:lang w:eastAsia="en-US"/>
        </w:rPr>
        <w:t>14</w:t>
      </w:r>
      <w:r w:rsidR="00F63A5E" w:rsidRPr="008700A6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8700A6">
        <w:rPr>
          <w:rFonts w:eastAsiaTheme="minorHAnsi"/>
          <w:bCs/>
          <w:sz w:val="28"/>
          <w:szCs w:val="28"/>
          <w:lang w:eastAsia="en-US"/>
        </w:rPr>
        <w:t>0</w:t>
      </w:r>
      <w:r w:rsidRPr="008700A6">
        <w:rPr>
          <w:rFonts w:eastAsiaTheme="minorHAnsi"/>
          <w:bCs/>
          <w:sz w:val="28"/>
          <w:szCs w:val="28"/>
          <w:lang w:eastAsia="en-US"/>
        </w:rPr>
        <w:t>4</w:t>
      </w:r>
      <w:r w:rsidR="00FE76E2" w:rsidRPr="008700A6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8700A6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8700A6">
        <w:rPr>
          <w:rFonts w:eastAsiaTheme="minorHAnsi"/>
          <w:bCs/>
          <w:sz w:val="28"/>
          <w:szCs w:val="28"/>
          <w:lang w:eastAsia="en-US"/>
        </w:rPr>
        <w:tab/>
      </w:r>
      <w:r w:rsidR="00FE76E2" w:rsidRPr="008700A6">
        <w:rPr>
          <w:rFonts w:eastAsiaTheme="minorHAnsi"/>
          <w:bCs/>
          <w:sz w:val="28"/>
          <w:szCs w:val="28"/>
          <w:lang w:eastAsia="en-US"/>
        </w:rPr>
        <w:tab/>
      </w:r>
      <w:r w:rsidR="00FE76E2" w:rsidRPr="008700A6">
        <w:rPr>
          <w:rFonts w:eastAsiaTheme="minorHAnsi"/>
          <w:bCs/>
          <w:sz w:val="28"/>
          <w:szCs w:val="28"/>
          <w:lang w:eastAsia="en-US"/>
        </w:rPr>
        <w:tab/>
      </w:r>
      <w:r w:rsidR="00FE76E2" w:rsidRPr="008700A6">
        <w:rPr>
          <w:rFonts w:eastAsiaTheme="minorHAnsi"/>
          <w:bCs/>
          <w:sz w:val="28"/>
          <w:szCs w:val="28"/>
          <w:lang w:eastAsia="en-US"/>
        </w:rPr>
        <w:tab/>
      </w:r>
      <w:r w:rsidR="00C54022" w:rsidRPr="008700A6">
        <w:rPr>
          <w:rFonts w:eastAsiaTheme="minorHAnsi"/>
          <w:bCs/>
          <w:sz w:val="28"/>
          <w:szCs w:val="28"/>
          <w:lang w:eastAsia="en-US"/>
        </w:rPr>
        <w:tab/>
      </w:r>
      <w:r w:rsidR="00FE76E2" w:rsidRPr="008700A6">
        <w:rPr>
          <w:rFonts w:eastAsiaTheme="minorHAnsi"/>
          <w:bCs/>
          <w:sz w:val="28"/>
          <w:szCs w:val="28"/>
          <w:lang w:eastAsia="en-US"/>
        </w:rPr>
        <w:tab/>
      </w:r>
      <w:r w:rsidR="00757019" w:rsidRPr="008700A6">
        <w:rPr>
          <w:rFonts w:eastAsiaTheme="minorHAnsi"/>
          <w:bCs/>
          <w:sz w:val="28"/>
          <w:szCs w:val="28"/>
          <w:lang w:eastAsia="en-US"/>
        </w:rPr>
        <w:tab/>
      </w:r>
      <w:r w:rsidR="00875184" w:rsidRPr="008700A6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8700A6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54673D" w:rsidRPr="008700A6">
        <w:rPr>
          <w:rFonts w:eastAsiaTheme="minorHAnsi"/>
          <w:bCs/>
          <w:sz w:val="28"/>
          <w:szCs w:val="28"/>
          <w:lang w:eastAsia="en-US"/>
        </w:rPr>
        <w:t>2</w:t>
      </w:r>
      <w:r w:rsidRPr="008700A6">
        <w:rPr>
          <w:rFonts w:eastAsiaTheme="minorHAnsi"/>
          <w:bCs/>
          <w:sz w:val="28"/>
          <w:szCs w:val="28"/>
          <w:lang w:eastAsia="en-US"/>
        </w:rPr>
        <w:t>5</w:t>
      </w:r>
    </w:p>
    <w:p w:rsidR="00FE76E2" w:rsidRPr="008700A6" w:rsidRDefault="00FE76E2" w:rsidP="008700A6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8700A6" w:rsidRDefault="00FE76E2" w:rsidP="008700A6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8700A6" w:rsidRDefault="00FE76E2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8700A6">
        <w:rPr>
          <w:rFonts w:eastAsiaTheme="minorHAnsi"/>
          <w:sz w:val="28"/>
          <w:szCs w:val="28"/>
          <w:lang w:eastAsia="en-US"/>
        </w:rPr>
        <w:t>Россети Янтарь</w:t>
      </w:r>
      <w:r w:rsidRPr="008700A6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8700A6" w:rsidRDefault="00FE76E2" w:rsidP="008700A6">
      <w:pPr>
        <w:contextualSpacing/>
        <w:jc w:val="both"/>
        <w:rPr>
          <w:sz w:val="28"/>
          <w:szCs w:val="28"/>
        </w:rPr>
      </w:pPr>
      <w:r w:rsidRPr="008700A6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8700A6">
        <w:rPr>
          <w:sz w:val="28"/>
          <w:szCs w:val="28"/>
        </w:rPr>
        <w:t>Полинов А.А.</w:t>
      </w:r>
    </w:p>
    <w:p w:rsidR="00FE76E2" w:rsidRPr="008700A6" w:rsidRDefault="00FE76E2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8700A6" w:rsidRDefault="00FE76E2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8700A6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8700A6">
        <w:rPr>
          <w:rFonts w:eastAsiaTheme="minorHAnsi"/>
          <w:sz w:val="28"/>
          <w:szCs w:val="28"/>
          <w:lang w:eastAsia="en-US"/>
        </w:rPr>
        <w:t>:</w:t>
      </w:r>
    </w:p>
    <w:p w:rsidR="00FE76E2" w:rsidRPr="008700A6" w:rsidRDefault="00FE76E2" w:rsidP="008700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700A6">
        <w:rPr>
          <w:sz w:val="28"/>
          <w:szCs w:val="28"/>
        </w:rPr>
        <w:t>Полинов А.А.</w:t>
      </w:r>
    </w:p>
    <w:p w:rsidR="00DE2D98" w:rsidRPr="008700A6" w:rsidRDefault="00DE2D98" w:rsidP="008700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Гончаров Ю.В.</w:t>
      </w:r>
    </w:p>
    <w:p w:rsidR="00DE2D98" w:rsidRPr="008700A6" w:rsidRDefault="00DE2D98" w:rsidP="008700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Калоева М.В.</w:t>
      </w:r>
    </w:p>
    <w:p w:rsidR="00DE2D98" w:rsidRPr="008700A6" w:rsidRDefault="00DE2D98" w:rsidP="008700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Краинский Д.В.</w:t>
      </w:r>
    </w:p>
    <w:p w:rsidR="00DE2D98" w:rsidRPr="008700A6" w:rsidRDefault="00DE2D98" w:rsidP="008700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Михеев Д.Д.</w:t>
      </w:r>
    </w:p>
    <w:p w:rsidR="00DE2D98" w:rsidRPr="008700A6" w:rsidRDefault="00DE2D98" w:rsidP="008700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Парамонова Н.В.</w:t>
      </w:r>
    </w:p>
    <w:p w:rsidR="00DE2D98" w:rsidRPr="008700A6" w:rsidRDefault="00DE2D98" w:rsidP="008700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Пидник А.Ю.</w:t>
      </w:r>
    </w:p>
    <w:p w:rsidR="00FE76E2" w:rsidRPr="008700A6" w:rsidRDefault="00FE76E2" w:rsidP="008700A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8700A6" w:rsidRDefault="00FE76E2" w:rsidP="008700A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8700A6">
        <w:rPr>
          <w:rFonts w:eastAsiaTheme="minorHAnsi"/>
          <w:sz w:val="28"/>
          <w:szCs w:val="28"/>
          <w:lang w:eastAsia="en-US"/>
        </w:rPr>
        <w:t>Россети Янтарь</w:t>
      </w:r>
      <w:r w:rsidRPr="008700A6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8700A6" w:rsidRDefault="00FE76E2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8700A6" w:rsidRDefault="00FE76E2" w:rsidP="008700A6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303E8" w:rsidRPr="008700A6" w:rsidRDefault="00CF1E3D" w:rsidP="008700A6">
      <w:pPr>
        <w:pStyle w:val="a7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bookmarkStart w:id="0" w:name="_Hlk130212182"/>
      <w:r w:rsidRPr="008700A6">
        <w:rPr>
          <w:rFonts w:eastAsia="Calibri"/>
          <w:sz w:val="28"/>
          <w:szCs w:val="28"/>
        </w:rPr>
        <w:t>О рассмотрении отчета единоличного исполнительного органа АО «Россети Янтарь» об обеспечении страховой защиты за 2022 год.</w:t>
      </w:r>
    </w:p>
    <w:bookmarkEnd w:id="0"/>
    <w:p w:rsidR="00A303E8" w:rsidRPr="008700A6" w:rsidRDefault="00CF1E3D" w:rsidP="008700A6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8700A6">
        <w:rPr>
          <w:spacing w:val="-4"/>
          <w:sz w:val="28"/>
          <w:szCs w:val="28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</w:t>
      </w:r>
      <w:r w:rsidR="008C38D4" w:rsidRPr="008700A6">
        <w:rPr>
          <w:spacing w:val="-4"/>
          <w:sz w:val="28"/>
          <w:szCs w:val="28"/>
        </w:rPr>
        <w:t> </w:t>
      </w:r>
      <w:r w:rsidRPr="008700A6">
        <w:rPr>
          <w:spacing w:val="-4"/>
          <w:sz w:val="28"/>
          <w:szCs w:val="28"/>
        </w:rPr>
        <w:t>4</w:t>
      </w:r>
      <w:r w:rsidR="008C38D4" w:rsidRPr="008700A6">
        <w:rPr>
          <w:spacing w:val="-4"/>
          <w:sz w:val="28"/>
          <w:szCs w:val="28"/>
        </w:rPr>
        <w:t> </w:t>
      </w:r>
      <w:r w:rsidRPr="008700A6">
        <w:rPr>
          <w:spacing w:val="-4"/>
          <w:sz w:val="28"/>
          <w:szCs w:val="28"/>
        </w:rPr>
        <w:t>квартал 2022 года.</w:t>
      </w:r>
    </w:p>
    <w:p w:rsidR="00CF1E3D" w:rsidRPr="008700A6" w:rsidRDefault="00CF1E3D" w:rsidP="008700A6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8700A6">
        <w:rPr>
          <w:spacing w:val="-4"/>
          <w:sz w:val="28"/>
          <w:szCs w:val="28"/>
        </w:rPr>
        <w:t>Об утверждении плана работы подразделения внутреннего аудита Общества на 2023 год.</w:t>
      </w:r>
    </w:p>
    <w:p w:rsidR="00CF1E3D" w:rsidRPr="008700A6" w:rsidRDefault="00CF1E3D" w:rsidP="008700A6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8700A6">
        <w:rPr>
          <w:sz w:val="28"/>
          <w:szCs w:val="28"/>
        </w:rPr>
        <w:t>Об утверждении кандидатуры страховой организации для заключения договора страхования Общества.</w:t>
      </w:r>
    </w:p>
    <w:p w:rsidR="00A74749" w:rsidRPr="008700A6" w:rsidRDefault="00CF1E3D" w:rsidP="008700A6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8700A6">
        <w:rPr>
          <w:spacing w:val="-4"/>
          <w:sz w:val="28"/>
          <w:szCs w:val="28"/>
        </w:rPr>
        <w:t>О рассмотрении результатов антикоррупционного мониторинга Общества по итогам 2022 года.</w:t>
      </w:r>
    </w:p>
    <w:p w:rsidR="00210629" w:rsidRPr="008700A6" w:rsidRDefault="00210629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303E8" w:rsidRPr="008700A6" w:rsidRDefault="00FE76E2" w:rsidP="008700A6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1" w:name="_Hlk126137140"/>
      <w:r w:rsidRPr="008700A6">
        <w:rPr>
          <w:b/>
          <w:spacing w:val="-4"/>
          <w:sz w:val="28"/>
          <w:szCs w:val="28"/>
        </w:rPr>
        <w:lastRenderedPageBreak/>
        <w:t>ВОПРОС № 1:</w:t>
      </w:r>
      <w:r w:rsidRPr="008700A6">
        <w:rPr>
          <w:spacing w:val="-4"/>
          <w:sz w:val="28"/>
          <w:szCs w:val="28"/>
        </w:rPr>
        <w:t xml:space="preserve"> </w:t>
      </w:r>
      <w:r w:rsidR="00CF1E3D" w:rsidRPr="008700A6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единоличного исполнительного органа АО «Россети Янтарь» об обеспечении страховой защиты за 2022 год.</w:t>
      </w:r>
    </w:p>
    <w:p w:rsidR="00E50715" w:rsidRPr="008700A6" w:rsidRDefault="00E50715" w:rsidP="008700A6">
      <w:pPr>
        <w:keepNext/>
        <w:keepLines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8700A6" w:rsidRDefault="00FE76E2" w:rsidP="008700A6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4749" w:rsidRPr="008700A6" w:rsidRDefault="00CF1E3D" w:rsidP="008700A6">
      <w:pPr>
        <w:ind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Принять к сведению отчет единоличного исполнительного органа АО</w:t>
      </w:r>
      <w:r w:rsidR="00E50715" w:rsidRPr="008700A6">
        <w:rPr>
          <w:sz w:val="28"/>
          <w:szCs w:val="28"/>
        </w:rPr>
        <w:t> </w:t>
      </w:r>
      <w:r w:rsidRPr="008700A6">
        <w:rPr>
          <w:sz w:val="28"/>
          <w:szCs w:val="28"/>
        </w:rPr>
        <w:t>«Россети Янтарь» об обеспечении страховой защиты в 2022 году в соответствии с приложением к настоящему решению Совета директоров Общества.</w:t>
      </w:r>
    </w:p>
    <w:p w:rsidR="00CF1E3D" w:rsidRPr="008700A6" w:rsidRDefault="00CF1E3D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8700A6" w:rsidRDefault="00FE76E2" w:rsidP="008700A6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700A6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4365"/>
        <w:gridCol w:w="877"/>
        <w:gridCol w:w="1371"/>
        <w:gridCol w:w="1996"/>
      </w:tblGrid>
      <w:tr w:rsidR="00757019" w:rsidRPr="008700A6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700A6" w:rsidRDefault="00757019" w:rsidP="008700A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3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700A6" w:rsidRDefault="00757019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8700A6" w:rsidRDefault="00757019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3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700A6" w:rsidRDefault="00757019" w:rsidP="008700A6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8700A6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8700A6" w:rsidRDefault="00757019" w:rsidP="008700A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8700A6" w:rsidRDefault="00757019" w:rsidP="008700A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8700A6" w:rsidRDefault="00757019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700A6" w:rsidRDefault="00757019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700A6" w:rsidRDefault="00757019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700A6" w:rsidRDefault="00FE76E2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700A6" w:rsidRDefault="00647CD3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25234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8700A6" w:rsidRDefault="00AA7DA9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8700A6" w:rsidRDefault="00525234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8700A6" w:rsidRDefault="00AA7DA9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8700A6" w:rsidRDefault="009406DD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8700A6" w:rsidRDefault="009406DD" w:rsidP="008700A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8700A6" w:rsidRDefault="00AA7DA9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  <w:r w:rsidR="00FE76E2"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8700A6" w:rsidRDefault="00FE76E2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8700A6" w:rsidRDefault="00AA7DA9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5</w:t>
            </w:r>
            <w:r w:rsidR="00FE76E2" w:rsidRPr="008700A6">
              <w:rPr>
                <w:sz w:val="26"/>
                <w:szCs w:val="26"/>
              </w:rPr>
              <w:t>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8700A6" w:rsidRDefault="00FE76E2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8700A6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6.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8700A6" w:rsidRDefault="00FE76E2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8700A6" w:rsidRDefault="00FE76E2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AA7DA9" w:rsidRPr="008700A6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8700A6" w:rsidRDefault="00AA7DA9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7.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8700A6" w:rsidRDefault="00AA7DA9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8700A6" w:rsidRDefault="00AA7DA9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8700A6" w:rsidRDefault="00AA7DA9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8700A6" w:rsidRDefault="00AA7DA9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1"/>
    <w:p w:rsidR="00D76419" w:rsidRPr="008700A6" w:rsidRDefault="00D76419" w:rsidP="008700A6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8700A6" w:rsidRDefault="00935848" w:rsidP="008700A6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8700A6" w:rsidRDefault="00935848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74749" w:rsidRPr="008700A6" w:rsidRDefault="00EF2FC8" w:rsidP="008700A6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8700A6">
        <w:rPr>
          <w:b/>
          <w:spacing w:val="-4"/>
          <w:sz w:val="28"/>
          <w:szCs w:val="28"/>
        </w:rPr>
        <w:t>ВОПРОС № 2:</w:t>
      </w:r>
      <w:r w:rsidRPr="008700A6">
        <w:rPr>
          <w:spacing w:val="-4"/>
          <w:sz w:val="28"/>
          <w:szCs w:val="28"/>
        </w:rPr>
        <w:t xml:space="preserve"> </w:t>
      </w:r>
      <w:r w:rsidR="00CF1E3D" w:rsidRPr="008700A6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 4 квартал 2022 года.</w:t>
      </w:r>
    </w:p>
    <w:p w:rsidR="00CF1E3D" w:rsidRPr="008700A6" w:rsidRDefault="00CF1E3D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F2FC8" w:rsidRPr="008700A6" w:rsidRDefault="00EF2FC8" w:rsidP="008700A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4749" w:rsidRPr="008700A6" w:rsidRDefault="00CF1E3D" w:rsidP="008700A6">
      <w:pPr>
        <w:ind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 xml:space="preserve">Принять к сведению отчет о ходе реализации инвестиционных проектов АО «Россети Янтарь», включенных в перечень приоритетных объектов, за 4 квартал 2022 года, согласно </w:t>
      </w:r>
      <w:proofErr w:type="gramStart"/>
      <w:r w:rsidRPr="008700A6">
        <w:rPr>
          <w:sz w:val="28"/>
          <w:szCs w:val="28"/>
        </w:rPr>
        <w:t>приложению</w:t>
      </w:r>
      <w:proofErr w:type="gramEnd"/>
      <w:r w:rsidRPr="008700A6">
        <w:rPr>
          <w:sz w:val="28"/>
          <w:szCs w:val="28"/>
        </w:rPr>
        <w:t xml:space="preserve"> к настоящему решению.</w:t>
      </w:r>
    </w:p>
    <w:p w:rsidR="00CF1E3D" w:rsidRPr="008700A6" w:rsidRDefault="00CF1E3D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F2FC8" w:rsidRPr="008700A6" w:rsidRDefault="00EF2FC8" w:rsidP="008700A6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700A6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4365"/>
        <w:gridCol w:w="877"/>
        <w:gridCol w:w="1371"/>
        <w:gridCol w:w="1996"/>
      </w:tblGrid>
      <w:tr w:rsidR="00EF2FC8" w:rsidRPr="008700A6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3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EF2FC8" w:rsidRPr="008700A6" w:rsidRDefault="00EF2FC8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3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EF2FC8" w:rsidRPr="008700A6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8700A6" w:rsidRDefault="00EF2FC8" w:rsidP="008700A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8700A6" w:rsidRDefault="00EF2FC8" w:rsidP="008700A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5.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6.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8700A6" w:rsidRDefault="00EF2FC8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7.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935848" w:rsidRPr="008700A6" w:rsidRDefault="00F66856" w:rsidP="008700A6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EF2FC8" w:rsidRPr="008700A6" w:rsidRDefault="00935848" w:rsidP="008700A6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8700A6" w:rsidRDefault="00BB568B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74749" w:rsidRPr="008700A6" w:rsidRDefault="00EF2FC8" w:rsidP="008700A6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8700A6">
        <w:rPr>
          <w:b/>
          <w:spacing w:val="-4"/>
          <w:sz w:val="28"/>
          <w:szCs w:val="28"/>
        </w:rPr>
        <w:t>ВОПРОС № 3:</w:t>
      </w:r>
      <w:r w:rsidRPr="008700A6">
        <w:rPr>
          <w:spacing w:val="-4"/>
          <w:sz w:val="28"/>
          <w:szCs w:val="28"/>
        </w:rPr>
        <w:t xml:space="preserve"> </w:t>
      </w:r>
      <w:r w:rsidR="00CF1E3D" w:rsidRPr="008700A6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плана работы подразделения внутреннего аудита Общества на 2023 год.</w:t>
      </w:r>
    </w:p>
    <w:p w:rsidR="008700A6" w:rsidRPr="008700A6" w:rsidRDefault="008700A6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F2FC8" w:rsidRPr="008700A6" w:rsidRDefault="00EF2FC8" w:rsidP="008700A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CF1E3D" w:rsidRPr="008700A6" w:rsidRDefault="00CF1E3D" w:rsidP="008700A6">
      <w:pPr>
        <w:ind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>1.</w:t>
      </w:r>
      <w:r w:rsidRPr="008700A6">
        <w:rPr>
          <w:sz w:val="28"/>
          <w:szCs w:val="28"/>
        </w:rPr>
        <w:tab/>
        <w:t xml:space="preserve">Утвердить план работы дирекции внутреннего аудита АО «Россети Янтарь» на 2023 год согласно </w:t>
      </w:r>
      <w:proofErr w:type="gramStart"/>
      <w:r w:rsidRPr="008700A6">
        <w:rPr>
          <w:sz w:val="28"/>
          <w:szCs w:val="28"/>
        </w:rPr>
        <w:t>приложению</w:t>
      </w:r>
      <w:proofErr w:type="gramEnd"/>
      <w:r w:rsidRPr="008700A6">
        <w:rPr>
          <w:sz w:val="28"/>
          <w:szCs w:val="28"/>
        </w:rPr>
        <w:t xml:space="preserve"> к настоящему решению Совета директоров Общества.</w:t>
      </w:r>
    </w:p>
    <w:p w:rsidR="00A74749" w:rsidRPr="008700A6" w:rsidRDefault="00CF1E3D" w:rsidP="008700A6">
      <w:pPr>
        <w:ind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>2.</w:t>
      </w:r>
      <w:r w:rsidRPr="008700A6">
        <w:rPr>
          <w:sz w:val="28"/>
          <w:szCs w:val="28"/>
        </w:rPr>
        <w:tab/>
        <w:t>Рекомендовать единоличному исполнительному органу Общества в целях исполнения плана работы дирекции внутреннего аудита в 2023 году принять меры по подбору кандидатуры на должность руководителя дирекции внутреннего аудита и вынесение соответствующего вопроса на рассмотрение Совета директоров.</w:t>
      </w:r>
    </w:p>
    <w:p w:rsidR="00CF1E3D" w:rsidRPr="008700A6" w:rsidRDefault="00CF1E3D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8700A6" w:rsidRDefault="00EF2FC8" w:rsidP="008700A6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700A6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448"/>
        <w:gridCol w:w="795"/>
        <w:gridCol w:w="1371"/>
        <w:gridCol w:w="1996"/>
      </w:tblGrid>
      <w:tr w:rsidR="00EF2FC8" w:rsidRPr="008700A6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EF2FC8" w:rsidRPr="008700A6" w:rsidRDefault="00EF2FC8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EF2FC8" w:rsidRPr="008700A6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8700A6" w:rsidRDefault="00EF2FC8" w:rsidP="008700A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8700A6" w:rsidRDefault="00EF2FC8" w:rsidP="008700A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rPr>
          <w:trHeight w:val="113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5.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6.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rPr>
          <w:trHeight w:val="84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8700A6" w:rsidRDefault="00EF2FC8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7.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F66856" w:rsidRPr="008700A6" w:rsidRDefault="00F66856" w:rsidP="008700A6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8700A6" w:rsidRDefault="00935848" w:rsidP="008700A6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8700A6" w:rsidRDefault="00BB568B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74749" w:rsidRPr="008700A6" w:rsidRDefault="00EF2FC8" w:rsidP="008700A6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8700A6">
        <w:rPr>
          <w:b/>
          <w:spacing w:val="-4"/>
          <w:sz w:val="28"/>
          <w:szCs w:val="28"/>
        </w:rPr>
        <w:t>ВОПРОС № 4:</w:t>
      </w:r>
      <w:r w:rsidRPr="008700A6">
        <w:rPr>
          <w:spacing w:val="-4"/>
          <w:sz w:val="28"/>
          <w:szCs w:val="28"/>
        </w:rPr>
        <w:t xml:space="preserve"> </w:t>
      </w:r>
      <w:r w:rsidR="00CF1E3D" w:rsidRPr="008700A6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кандидатуры страховой организации для заключения договора страхования Общества.</w:t>
      </w:r>
    </w:p>
    <w:p w:rsidR="00CF1E3D" w:rsidRPr="008700A6" w:rsidRDefault="00CF1E3D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F2FC8" w:rsidRPr="008700A6" w:rsidRDefault="00EF2FC8" w:rsidP="008700A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CF1E3D" w:rsidRPr="008700A6" w:rsidRDefault="00CF1E3D" w:rsidP="008700A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00A6">
        <w:rPr>
          <w:rFonts w:eastAsia="Calibri"/>
          <w:color w:val="000000"/>
          <w:sz w:val="28"/>
          <w:szCs w:val="28"/>
          <w:lang w:eastAsia="en-US"/>
        </w:rPr>
        <w:t>Утвердить в качестве страховщиков АО «Россети Янтарь» следующие страховые компании: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2960"/>
        <w:gridCol w:w="2745"/>
      </w:tblGrid>
      <w:tr w:rsidR="00CF1E3D" w:rsidRPr="008700A6" w:rsidTr="00E50715">
        <w:trPr>
          <w:cantSplit/>
          <w:trHeight w:val="256"/>
        </w:trPr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8700A6">
              <w:rPr>
                <w:b/>
                <w:iCs/>
                <w:sz w:val="26"/>
                <w:szCs w:val="26"/>
              </w:rPr>
              <w:t>Вид страхования</w:t>
            </w:r>
          </w:p>
        </w:tc>
        <w:tc>
          <w:tcPr>
            <w:tcW w:w="16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8700A6">
              <w:rPr>
                <w:b/>
                <w:iCs/>
                <w:sz w:val="26"/>
                <w:szCs w:val="26"/>
              </w:rPr>
              <w:t>Страховая компания</w:t>
            </w:r>
          </w:p>
        </w:tc>
        <w:tc>
          <w:tcPr>
            <w:tcW w:w="14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8700A6">
              <w:rPr>
                <w:b/>
                <w:iCs/>
                <w:sz w:val="26"/>
                <w:szCs w:val="26"/>
              </w:rPr>
              <w:t xml:space="preserve">Период страхования </w:t>
            </w:r>
          </w:p>
          <w:p w:rsidR="00CF1E3D" w:rsidRPr="008700A6" w:rsidRDefault="00CF1E3D" w:rsidP="008700A6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8700A6">
              <w:rPr>
                <w:b/>
                <w:iCs/>
                <w:sz w:val="26"/>
                <w:szCs w:val="26"/>
              </w:rPr>
              <w:t xml:space="preserve">(период выдачи полисов) </w:t>
            </w:r>
          </w:p>
        </w:tc>
      </w:tr>
      <w:tr w:rsidR="00CF1E3D" w:rsidRPr="008700A6" w:rsidTr="00E50715">
        <w:trPr>
          <w:cantSplit/>
          <w:trHeight w:val="804"/>
        </w:trPr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Страхование ответственности директоров и должностных лиц (</w:t>
            </w:r>
            <w:proofErr w:type="spellStart"/>
            <w:r w:rsidRPr="008700A6">
              <w:rPr>
                <w:sz w:val="26"/>
                <w:szCs w:val="26"/>
              </w:rPr>
              <w:t>Direct</w:t>
            </w:r>
            <w:r w:rsidRPr="008700A6">
              <w:rPr>
                <w:sz w:val="26"/>
                <w:szCs w:val="26"/>
                <w:lang w:val="en-US"/>
              </w:rPr>
              <w:t>ors</w:t>
            </w:r>
            <w:proofErr w:type="spellEnd"/>
            <w:r w:rsidRPr="008700A6">
              <w:rPr>
                <w:sz w:val="26"/>
                <w:szCs w:val="26"/>
              </w:rPr>
              <w:t>&amp;</w:t>
            </w:r>
            <w:r w:rsidRPr="008700A6">
              <w:rPr>
                <w:sz w:val="26"/>
                <w:szCs w:val="26"/>
                <w:lang w:val="en-US"/>
              </w:rPr>
              <w:t>Officers</w:t>
            </w:r>
            <w:r w:rsidRPr="008700A6">
              <w:rPr>
                <w:sz w:val="26"/>
                <w:szCs w:val="26"/>
              </w:rPr>
              <w:t xml:space="preserve">, </w:t>
            </w:r>
            <w:r w:rsidRPr="008700A6">
              <w:rPr>
                <w:sz w:val="26"/>
                <w:szCs w:val="26"/>
                <w:lang w:val="en-US"/>
              </w:rPr>
              <w:t>D</w:t>
            </w:r>
            <w:r w:rsidRPr="008700A6">
              <w:rPr>
                <w:sz w:val="26"/>
                <w:szCs w:val="26"/>
              </w:rPr>
              <w:t>&amp;</w:t>
            </w:r>
            <w:r w:rsidRPr="008700A6">
              <w:rPr>
                <w:sz w:val="26"/>
                <w:szCs w:val="26"/>
                <w:lang w:val="en-US"/>
              </w:rPr>
              <w:t>O</w:t>
            </w:r>
            <w:r w:rsidRPr="008700A6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6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iCs/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САО</w:t>
            </w:r>
            <w:r w:rsidRPr="008700A6">
              <w:rPr>
                <w:sz w:val="26"/>
                <w:szCs w:val="26"/>
                <w:lang w:val="en-US"/>
              </w:rPr>
              <w:t> </w:t>
            </w:r>
            <w:r w:rsidRPr="008700A6">
              <w:rPr>
                <w:sz w:val="26"/>
                <w:szCs w:val="26"/>
              </w:rPr>
              <w:t xml:space="preserve">«ВСК» </w:t>
            </w:r>
          </w:p>
        </w:tc>
        <w:tc>
          <w:tcPr>
            <w:tcW w:w="14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 xml:space="preserve">с 23.03.2023 </w:t>
            </w:r>
          </w:p>
          <w:p w:rsidR="00CF1E3D" w:rsidRPr="008700A6" w:rsidRDefault="00CF1E3D" w:rsidP="008700A6">
            <w:pPr>
              <w:contextualSpacing/>
              <w:jc w:val="center"/>
              <w:rPr>
                <w:iCs/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по 31.03.2023</w:t>
            </w:r>
          </w:p>
        </w:tc>
      </w:tr>
      <w:tr w:rsidR="00CF1E3D" w:rsidRPr="008700A6" w:rsidTr="00E50715">
        <w:trPr>
          <w:cantSplit/>
          <w:trHeight w:val="804"/>
        </w:trPr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sz w:val="26"/>
                <w:szCs w:val="26"/>
              </w:rPr>
            </w:pPr>
            <w:bookmarkStart w:id="2" w:name="OLE_LINK9"/>
            <w:bookmarkStart w:id="3" w:name="OLE_LINK10"/>
            <w:r w:rsidRPr="008700A6">
              <w:rPr>
                <w:sz w:val="26"/>
                <w:szCs w:val="26"/>
              </w:rPr>
              <w:t>Добровольное страхование автотранспортных средств (КАСКО)</w:t>
            </w:r>
          </w:p>
        </w:tc>
        <w:tc>
          <w:tcPr>
            <w:tcW w:w="16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iCs/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ПАО «Группа Ренессанс Страхование»</w:t>
            </w:r>
          </w:p>
        </w:tc>
        <w:tc>
          <w:tcPr>
            <w:tcW w:w="14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3D" w:rsidRPr="008700A6" w:rsidRDefault="00CF1E3D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 xml:space="preserve">с 18.03.2023 </w:t>
            </w:r>
          </w:p>
          <w:p w:rsidR="00CF1E3D" w:rsidRPr="008700A6" w:rsidRDefault="00CF1E3D" w:rsidP="008700A6">
            <w:pPr>
              <w:contextualSpacing/>
              <w:jc w:val="center"/>
              <w:rPr>
                <w:iCs/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по 17.03.2024</w:t>
            </w:r>
          </w:p>
        </w:tc>
      </w:tr>
      <w:bookmarkEnd w:id="2"/>
      <w:bookmarkEnd w:id="3"/>
    </w:tbl>
    <w:p w:rsidR="00725107" w:rsidRPr="008700A6" w:rsidRDefault="00725107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F2FC8" w:rsidRPr="008700A6" w:rsidRDefault="00EF2FC8" w:rsidP="008700A6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700A6">
        <w:rPr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448"/>
        <w:gridCol w:w="795"/>
        <w:gridCol w:w="1371"/>
        <w:gridCol w:w="1996"/>
      </w:tblGrid>
      <w:tr w:rsidR="00EF2FC8" w:rsidRPr="008700A6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EF2FC8" w:rsidRPr="008700A6" w:rsidRDefault="00EF2FC8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EF2FC8" w:rsidRPr="008700A6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8700A6" w:rsidRDefault="00EF2FC8" w:rsidP="008700A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8700A6" w:rsidRDefault="00EF2FC8" w:rsidP="008700A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8700A6" w:rsidRDefault="00EF2FC8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5.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6.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8700A6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8700A6" w:rsidRDefault="00EF2FC8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7.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8700A6" w:rsidRDefault="00EF2FC8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8700A6" w:rsidRDefault="00EF2FC8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8C38D4" w:rsidRPr="008700A6" w:rsidRDefault="008C38D4" w:rsidP="008700A6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E76E2" w:rsidRPr="008700A6" w:rsidRDefault="00FE76E2" w:rsidP="008700A6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8700A6" w:rsidRDefault="00196875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CF1E3D" w:rsidRPr="008700A6" w:rsidRDefault="00196875" w:rsidP="008700A6">
      <w:pPr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8700A6">
        <w:rPr>
          <w:b/>
          <w:spacing w:val="-4"/>
          <w:sz w:val="28"/>
          <w:szCs w:val="28"/>
        </w:rPr>
        <w:t>ВОПРОС № 5:</w:t>
      </w:r>
      <w:r w:rsidRPr="008700A6">
        <w:rPr>
          <w:spacing w:val="-4"/>
          <w:sz w:val="28"/>
          <w:szCs w:val="28"/>
        </w:rPr>
        <w:t xml:space="preserve"> </w:t>
      </w:r>
      <w:r w:rsidR="00CF1E3D" w:rsidRPr="008700A6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результатов антикоррупционного мониторинга Общества по итогам 2022 года.</w:t>
      </w:r>
    </w:p>
    <w:p w:rsidR="00A74749" w:rsidRPr="008700A6" w:rsidRDefault="00A74749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196875" w:rsidRPr="008700A6" w:rsidRDefault="00196875" w:rsidP="008700A6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A74749" w:rsidRPr="008700A6" w:rsidRDefault="00CF1E3D" w:rsidP="008700A6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Принять к сведению отчет о рассмотрении результатов антикоррупционного мониторинга в АО «Россети Янтарь» по итогам 2022</w:t>
      </w:r>
      <w:r w:rsidR="008700A6" w:rsidRPr="008700A6">
        <w:rPr>
          <w:sz w:val="28"/>
          <w:szCs w:val="28"/>
        </w:rPr>
        <w:t> </w:t>
      </w:r>
      <w:r w:rsidRPr="008700A6">
        <w:rPr>
          <w:sz w:val="28"/>
          <w:szCs w:val="28"/>
        </w:rPr>
        <w:t>года в соответствии с приложением к настоящему решению.</w:t>
      </w:r>
    </w:p>
    <w:p w:rsidR="00CF1E3D" w:rsidRPr="008700A6" w:rsidRDefault="00CF1E3D" w:rsidP="008700A6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8700A6" w:rsidRDefault="00196875" w:rsidP="008700A6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700A6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448"/>
        <w:gridCol w:w="795"/>
        <w:gridCol w:w="1371"/>
        <w:gridCol w:w="1996"/>
      </w:tblGrid>
      <w:tr w:rsidR="00196875" w:rsidRPr="008700A6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8700A6" w:rsidRDefault="00196875" w:rsidP="008700A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8700A6" w:rsidRDefault="00196875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196875" w:rsidRPr="008700A6" w:rsidRDefault="00196875" w:rsidP="008700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8700A6" w:rsidRDefault="00196875" w:rsidP="008700A6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196875" w:rsidRPr="008700A6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8700A6" w:rsidRDefault="00196875" w:rsidP="008700A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8700A6" w:rsidRDefault="00196875" w:rsidP="008700A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8700A6" w:rsidRDefault="00196875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8700A6" w:rsidRDefault="00196875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8700A6" w:rsidRDefault="00196875" w:rsidP="008700A6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196875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8700A6" w:rsidRDefault="00196875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8700A6" w:rsidRDefault="00196875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8700A6" w:rsidRDefault="00196875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8700A6" w:rsidRDefault="00196875" w:rsidP="008700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8700A6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5.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8700A6" w:rsidRDefault="00196875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8700A6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8700A6">
              <w:rPr>
                <w:sz w:val="26"/>
                <w:szCs w:val="26"/>
              </w:rPr>
              <w:t>6.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8700A6" w:rsidRDefault="00196875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8700A6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8700A6" w:rsidRDefault="00196875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7.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8700A6" w:rsidRDefault="00196875" w:rsidP="008700A6">
            <w:pPr>
              <w:contextualSpacing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8700A6" w:rsidRDefault="00196875" w:rsidP="008700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700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D76419" w:rsidRPr="008700A6" w:rsidRDefault="00D76419" w:rsidP="008700A6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196875" w:rsidRPr="008700A6" w:rsidRDefault="00196875" w:rsidP="008700A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66471" w:rsidRPr="008700A6" w:rsidRDefault="00666471" w:rsidP="008700A6">
      <w:pPr>
        <w:contextualSpacing/>
        <w:jc w:val="both"/>
        <w:rPr>
          <w:rFonts w:eastAsia="Calibri"/>
          <w:bCs/>
          <w:color w:val="000000"/>
          <w:sz w:val="28"/>
          <w:szCs w:val="28"/>
          <w:highlight w:val="yellow"/>
        </w:rPr>
      </w:pPr>
    </w:p>
    <w:p w:rsidR="00FE76E2" w:rsidRPr="008700A6" w:rsidRDefault="00D26813" w:rsidP="008700A6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700A6">
        <w:rPr>
          <w:rFonts w:eastAsiaTheme="minorHAnsi"/>
          <w:b/>
          <w:sz w:val="28"/>
          <w:szCs w:val="28"/>
          <w:lang w:eastAsia="en-US"/>
        </w:rPr>
        <w:t>По результатам голосования Совет директоров АО «Россети Янтарь» принял следующие решения:</w:t>
      </w:r>
    </w:p>
    <w:p w:rsidR="00D26813" w:rsidRPr="008700A6" w:rsidRDefault="00D26813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8700A6" w:rsidRDefault="00FE76E2" w:rsidP="008700A6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8700A6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725107" w:rsidRPr="008700A6" w:rsidRDefault="00CF1E3D" w:rsidP="008700A6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>Принять к сведению отчет единоличного исполнительного органа АО</w:t>
      </w:r>
      <w:r w:rsidR="00E50715" w:rsidRPr="008700A6">
        <w:rPr>
          <w:sz w:val="28"/>
          <w:szCs w:val="28"/>
        </w:rPr>
        <w:t> </w:t>
      </w:r>
      <w:r w:rsidRPr="008700A6">
        <w:rPr>
          <w:sz w:val="28"/>
          <w:szCs w:val="28"/>
        </w:rPr>
        <w:t>«Россети Янтарь» об обеспечении страховой защиты в 2022 году в соответствии с приложением к настоящему решению Совета директоров Общества.</w:t>
      </w:r>
    </w:p>
    <w:p w:rsidR="008700A6" w:rsidRPr="008700A6" w:rsidRDefault="008700A6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935848" w:rsidRPr="008700A6" w:rsidRDefault="00935848" w:rsidP="008700A6">
      <w:pPr>
        <w:keepNext/>
        <w:keepLines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8700A6">
        <w:rPr>
          <w:b/>
          <w:sz w:val="28"/>
          <w:szCs w:val="28"/>
        </w:rPr>
        <w:lastRenderedPageBreak/>
        <w:t>По вопросу № 2 повестки дня:</w:t>
      </w:r>
    </w:p>
    <w:p w:rsidR="00E30A98" w:rsidRPr="008700A6" w:rsidRDefault="00CF1E3D" w:rsidP="008700A6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 xml:space="preserve">Принять к сведению отчет о ходе реализации инвестиционных проектов АО «Россети Янтарь», включенных в перечень приоритетных объектов, за 4 квартал 2022 года, согласно </w:t>
      </w:r>
      <w:proofErr w:type="gramStart"/>
      <w:r w:rsidRPr="008700A6">
        <w:rPr>
          <w:sz w:val="28"/>
          <w:szCs w:val="28"/>
        </w:rPr>
        <w:t>приложению</w:t>
      </w:r>
      <w:proofErr w:type="gramEnd"/>
      <w:r w:rsidRPr="008700A6">
        <w:rPr>
          <w:sz w:val="28"/>
          <w:szCs w:val="28"/>
        </w:rPr>
        <w:t xml:space="preserve"> к настоящему решению.</w:t>
      </w:r>
    </w:p>
    <w:p w:rsidR="00725107" w:rsidRPr="008700A6" w:rsidRDefault="00725107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  <w:bookmarkStart w:id="4" w:name="_GoBack"/>
      <w:bookmarkEnd w:id="4"/>
    </w:p>
    <w:p w:rsidR="00935848" w:rsidRPr="008700A6" w:rsidRDefault="00935848" w:rsidP="008700A6">
      <w:pPr>
        <w:keepNext/>
        <w:keepLines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8700A6">
        <w:rPr>
          <w:b/>
          <w:sz w:val="28"/>
          <w:szCs w:val="28"/>
        </w:rPr>
        <w:t>По вопросу № 3 повестки дня:</w:t>
      </w:r>
    </w:p>
    <w:p w:rsidR="00E50715" w:rsidRPr="008700A6" w:rsidRDefault="00E50715" w:rsidP="008700A6">
      <w:pPr>
        <w:numPr>
          <w:ilvl w:val="0"/>
          <w:numId w:val="22"/>
        </w:numPr>
        <w:shd w:val="clear" w:color="auto" w:fill="FFFFFF"/>
        <w:tabs>
          <w:tab w:val="left" w:pos="992"/>
        </w:tabs>
        <w:ind w:left="0"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 xml:space="preserve">Утвердить план работы дирекции внутреннего аудита АО «Россети Янтарь» на 2023 год согласно </w:t>
      </w:r>
      <w:proofErr w:type="gramStart"/>
      <w:r w:rsidRPr="008700A6">
        <w:rPr>
          <w:sz w:val="28"/>
          <w:szCs w:val="28"/>
        </w:rPr>
        <w:t>приложению</w:t>
      </w:r>
      <w:proofErr w:type="gramEnd"/>
      <w:r w:rsidRPr="008700A6">
        <w:rPr>
          <w:sz w:val="28"/>
          <w:szCs w:val="28"/>
        </w:rPr>
        <w:t xml:space="preserve"> к настоящему решению Совета директоров Общества.</w:t>
      </w:r>
    </w:p>
    <w:p w:rsidR="00E50715" w:rsidRPr="008700A6" w:rsidRDefault="00E50715" w:rsidP="008700A6">
      <w:pPr>
        <w:numPr>
          <w:ilvl w:val="0"/>
          <w:numId w:val="22"/>
        </w:numPr>
        <w:shd w:val="clear" w:color="auto" w:fill="FFFFFF"/>
        <w:tabs>
          <w:tab w:val="left" w:pos="992"/>
        </w:tabs>
        <w:ind w:left="0" w:firstLine="709"/>
        <w:contextualSpacing/>
        <w:jc w:val="both"/>
        <w:rPr>
          <w:sz w:val="28"/>
          <w:szCs w:val="28"/>
        </w:rPr>
      </w:pPr>
      <w:r w:rsidRPr="008700A6">
        <w:rPr>
          <w:sz w:val="28"/>
          <w:szCs w:val="28"/>
        </w:rPr>
        <w:t>Рекомендовать единоличному исполнительному органу Общества в целях исполнения плана работы дирекции внутреннего аудита в 2023 году принять меры по подбору кандидатуры на должность руководителя дирекции внутреннего аудита и вынесение соответствующего вопроса на рассмотрение Совета директоров.</w:t>
      </w:r>
    </w:p>
    <w:p w:rsidR="00AF7465" w:rsidRPr="008700A6" w:rsidRDefault="00AF7465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935848" w:rsidRPr="008700A6" w:rsidRDefault="00935848" w:rsidP="008700A6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8700A6">
        <w:rPr>
          <w:b/>
          <w:sz w:val="28"/>
          <w:szCs w:val="28"/>
        </w:rPr>
        <w:t>По вопросу № 4 повестки дня:</w:t>
      </w:r>
    </w:p>
    <w:p w:rsidR="00E50715" w:rsidRPr="008700A6" w:rsidRDefault="00E50715" w:rsidP="008700A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00A6">
        <w:rPr>
          <w:rFonts w:eastAsia="Calibri"/>
          <w:color w:val="000000"/>
          <w:sz w:val="28"/>
          <w:szCs w:val="28"/>
          <w:lang w:eastAsia="en-US"/>
        </w:rPr>
        <w:t>Утвердить в качестве страховщиков АО «Россети Янтарь» следующие страховые компании: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2960"/>
        <w:gridCol w:w="2745"/>
      </w:tblGrid>
      <w:tr w:rsidR="00E50715" w:rsidRPr="008700A6" w:rsidTr="00E50715">
        <w:trPr>
          <w:cantSplit/>
          <w:trHeight w:val="256"/>
        </w:trPr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8700A6">
              <w:rPr>
                <w:b/>
                <w:iCs/>
                <w:sz w:val="26"/>
                <w:szCs w:val="26"/>
              </w:rPr>
              <w:t>Вид страхования</w:t>
            </w:r>
          </w:p>
        </w:tc>
        <w:tc>
          <w:tcPr>
            <w:tcW w:w="16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8700A6">
              <w:rPr>
                <w:b/>
                <w:iCs/>
                <w:sz w:val="26"/>
                <w:szCs w:val="26"/>
              </w:rPr>
              <w:t>Страховая компания</w:t>
            </w:r>
          </w:p>
        </w:tc>
        <w:tc>
          <w:tcPr>
            <w:tcW w:w="14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8700A6">
              <w:rPr>
                <w:b/>
                <w:iCs/>
                <w:sz w:val="26"/>
                <w:szCs w:val="26"/>
              </w:rPr>
              <w:t xml:space="preserve">Период страхования </w:t>
            </w:r>
          </w:p>
          <w:p w:rsidR="00E50715" w:rsidRPr="008700A6" w:rsidRDefault="00E50715" w:rsidP="008700A6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8700A6">
              <w:rPr>
                <w:b/>
                <w:iCs/>
                <w:sz w:val="26"/>
                <w:szCs w:val="26"/>
              </w:rPr>
              <w:t xml:space="preserve">(период выдачи полисов) </w:t>
            </w:r>
          </w:p>
        </w:tc>
      </w:tr>
      <w:tr w:rsidR="00E50715" w:rsidRPr="008700A6" w:rsidTr="00E50715">
        <w:trPr>
          <w:cantSplit/>
          <w:trHeight w:val="804"/>
        </w:trPr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Страхование ответственности директоров и должностных лиц (</w:t>
            </w:r>
            <w:proofErr w:type="spellStart"/>
            <w:r w:rsidRPr="008700A6">
              <w:rPr>
                <w:sz w:val="26"/>
                <w:szCs w:val="26"/>
              </w:rPr>
              <w:t>Direct</w:t>
            </w:r>
            <w:r w:rsidRPr="008700A6">
              <w:rPr>
                <w:sz w:val="26"/>
                <w:szCs w:val="26"/>
                <w:lang w:val="en-US"/>
              </w:rPr>
              <w:t>ors</w:t>
            </w:r>
            <w:proofErr w:type="spellEnd"/>
            <w:r w:rsidRPr="008700A6">
              <w:rPr>
                <w:sz w:val="26"/>
                <w:szCs w:val="26"/>
              </w:rPr>
              <w:t>&amp;</w:t>
            </w:r>
            <w:r w:rsidRPr="008700A6">
              <w:rPr>
                <w:sz w:val="26"/>
                <w:szCs w:val="26"/>
                <w:lang w:val="en-US"/>
              </w:rPr>
              <w:t>Officers</w:t>
            </w:r>
            <w:r w:rsidRPr="008700A6">
              <w:rPr>
                <w:sz w:val="26"/>
                <w:szCs w:val="26"/>
              </w:rPr>
              <w:t xml:space="preserve">, </w:t>
            </w:r>
            <w:r w:rsidRPr="008700A6">
              <w:rPr>
                <w:sz w:val="26"/>
                <w:szCs w:val="26"/>
                <w:lang w:val="en-US"/>
              </w:rPr>
              <w:t>D</w:t>
            </w:r>
            <w:r w:rsidRPr="008700A6">
              <w:rPr>
                <w:sz w:val="26"/>
                <w:szCs w:val="26"/>
              </w:rPr>
              <w:t>&amp;</w:t>
            </w:r>
            <w:r w:rsidRPr="008700A6">
              <w:rPr>
                <w:sz w:val="26"/>
                <w:szCs w:val="26"/>
                <w:lang w:val="en-US"/>
              </w:rPr>
              <w:t>O</w:t>
            </w:r>
            <w:r w:rsidRPr="008700A6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6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iCs/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САО</w:t>
            </w:r>
            <w:r w:rsidRPr="008700A6">
              <w:rPr>
                <w:sz w:val="26"/>
                <w:szCs w:val="26"/>
                <w:lang w:val="en-US"/>
              </w:rPr>
              <w:t> </w:t>
            </w:r>
            <w:r w:rsidRPr="008700A6">
              <w:rPr>
                <w:sz w:val="26"/>
                <w:szCs w:val="26"/>
              </w:rPr>
              <w:t xml:space="preserve">«ВСК» </w:t>
            </w:r>
          </w:p>
        </w:tc>
        <w:tc>
          <w:tcPr>
            <w:tcW w:w="14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 xml:space="preserve">с 23.03.2023 </w:t>
            </w:r>
          </w:p>
          <w:p w:rsidR="00E50715" w:rsidRPr="008700A6" w:rsidRDefault="00E50715" w:rsidP="008700A6">
            <w:pPr>
              <w:contextualSpacing/>
              <w:jc w:val="center"/>
              <w:rPr>
                <w:iCs/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по 31.03.2023</w:t>
            </w:r>
          </w:p>
        </w:tc>
      </w:tr>
      <w:tr w:rsidR="00E50715" w:rsidRPr="008700A6" w:rsidTr="00E50715">
        <w:trPr>
          <w:cantSplit/>
          <w:trHeight w:val="804"/>
        </w:trPr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Добровольное страхование автотранспортных средств (КАСКО)</w:t>
            </w:r>
          </w:p>
        </w:tc>
        <w:tc>
          <w:tcPr>
            <w:tcW w:w="16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iCs/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ПАО «Группа Ренессанс Страхование»</w:t>
            </w:r>
          </w:p>
        </w:tc>
        <w:tc>
          <w:tcPr>
            <w:tcW w:w="14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15" w:rsidRPr="008700A6" w:rsidRDefault="00E50715" w:rsidP="008700A6">
            <w:pPr>
              <w:contextualSpacing/>
              <w:jc w:val="center"/>
              <w:rPr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 xml:space="preserve">с 18.03.2023 </w:t>
            </w:r>
          </w:p>
          <w:p w:rsidR="00E50715" w:rsidRPr="008700A6" w:rsidRDefault="00E50715" w:rsidP="008700A6">
            <w:pPr>
              <w:contextualSpacing/>
              <w:jc w:val="center"/>
              <w:rPr>
                <w:iCs/>
                <w:sz w:val="26"/>
                <w:szCs w:val="26"/>
              </w:rPr>
            </w:pPr>
            <w:r w:rsidRPr="008700A6">
              <w:rPr>
                <w:sz w:val="26"/>
                <w:szCs w:val="26"/>
              </w:rPr>
              <w:t>по 17.03.2024</w:t>
            </w:r>
          </w:p>
        </w:tc>
      </w:tr>
    </w:tbl>
    <w:p w:rsidR="00725107" w:rsidRPr="008700A6" w:rsidRDefault="00725107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496D19" w:rsidRPr="008700A6" w:rsidRDefault="00496D19" w:rsidP="008700A6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700A6">
        <w:rPr>
          <w:rFonts w:eastAsiaTheme="minorHAnsi"/>
          <w:b/>
          <w:sz w:val="28"/>
          <w:szCs w:val="28"/>
          <w:lang w:eastAsia="en-US"/>
        </w:rPr>
        <w:t>По вопросу № 5 повестки дня:</w:t>
      </w:r>
    </w:p>
    <w:p w:rsidR="00725107" w:rsidRPr="008700A6" w:rsidRDefault="00E50715" w:rsidP="008700A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>Принять к сведению отчет о рассмотрении результатов антикоррупционного мониторинга в АО «Россети Янтарь» по итогам 2022</w:t>
      </w:r>
      <w:r w:rsidR="008700A6" w:rsidRPr="008700A6">
        <w:rPr>
          <w:rFonts w:eastAsiaTheme="minorHAnsi"/>
          <w:sz w:val="28"/>
          <w:szCs w:val="28"/>
          <w:lang w:eastAsia="en-US"/>
        </w:rPr>
        <w:t> </w:t>
      </w:r>
      <w:r w:rsidRPr="008700A6">
        <w:rPr>
          <w:rFonts w:eastAsiaTheme="minorHAnsi"/>
          <w:sz w:val="28"/>
          <w:szCs w:val="28"/>
          <w:lang w:eastAsia="en-US"/>
        </w:rPr>
        <w:t>года в соответствии с приложением к настоящему решению.</w:t>
      </w:r>
    </w:p>
    <w:p w:rsidR="00E30A98" w:rsidRPr="008700A6" w:rsidRDefault="00E30A98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50715" w:rsidRPr="008700A6" w:rsidRDefault="00E50715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8700A6" w:rsidRDefault="001626CD" w:rsidP="008700A6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8700A6">
        <w:rPr>
          <w:i/>
          <w:sz w:val="28"/>
          <w:szCs w:val="28"/>
        </w:rPr>
        <w:t xml:space="preserve">Дата составления протокола </w:t>
      </w:r>
      <w:r w:rsidR="00E50715" w:rsidRPr="008700A6">
        <w:rPr>
          <w:i/>
          <w:sz w:val="28"/>
          <w:szCs w:val="28"/>
        </w:rPr>
        <w:t>14</w:t>
      </w:r>
      <w:r w:rsidR="00FE76E2" w:rsidRPr="008700A6">
        <w:rPr>
          <w:i/>
          <w:sz w:val="28"/>
          <w:szCs w:val="28"/>
        </w:rPr>
        <w:t>.</w:t>
      </w:r>
      <w:r w:rsidR="00735DBA" w:rsidRPr="008700A6">
        <w:rPr>
          <w:i/>
          <w:sz w:val="28"/>
          <w:szCs w:val="28"/>
        </w:rPr>
        <w:t>0</w:t>
      </w:r>
      <w:r w:rsidR="00E50715" w:rsidRPr="008700A6">
        <w:rPr>
          <w:i/>
          <w:sz w:val="28"/>
          <w:szCs w:val="28"/>
        </w:rPr>
        <w:t>4</w:t>
      </w:r>
      <w:r w:rsidR="00FE76E2" w:rsidRPr="008700A6">
        <w:rPr>
          <w:i/>
          <w:sz w:val="28"/>
          <w:szCs w:val="28"/>
        </w:rPr>
        <w:t>.202</w:t>
      </w:r>
      <w:r w:rsidR="00735DBA" w:rsidRPr="008700A6">
        <w:rPr>
          <w:i/>
          <w:sz w:val="28"/>
          <w:szCs w:val="28"/>
        </w:rPr>
        <w:t>3</w:t>
      </w:r>
      <w:r w:rsidR="00FE76E2" w:rsidRPr="008700A6">
        <w:rPr>
          <w:i/>
          <w:sz w:val="28"/>
          <w:szCs w:val="28"/>
        </w:rPr>
        <w:t>.</w:t>
      </w:r>
    </w:p>
    <w:p w:rsidR="00BD2A2B" w:rsidRPr="008700A6" w:rsidRDefault="00BD2A2B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BD2A2B" w:rsidRPr="008700A6" w:rsidRDefault="00BD2A2B" w:rsidP="008700A6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696D37" w:rsidRPr="008700A6" w:rsidRDefault="00696D37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8700A6" w:rsidRDefault="00FE76E2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8700A6">
        <w:rPr>
          <w:rFonts w:eastAsiaTheme="minorHAnsi"/>
          <w:sz w:val="28"/>
          <w:szCs w:val="28"/>
          <w:lang w:eastAsia="en-US"/>
        </w:rPr>
        <w:t xml:space="preserve"> </w:t>
      </w:r>
      <w:r w:rsidRPr="008700A6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8700A6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8700A6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8700A6">
        <w:rPr>
          <w:rFonts w:eastAsiaTheme="minorHAnsi"/>
          <w:sz w:val="28"/>
          <w:szCs w:val="28"/>
          <w:lang w:eastAsia="en-US"/>
        </w:rPr>
        <w:t xml:space="preserve">     </w:t>
      </w:r>
      <w:r w:rsidRPr="008700A6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8700A6" w:rsidRDefault="00FE76E2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8700A6" w:rsidRDefault="00BD2A2B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8700A6" w:rsidRDefault="009C1089" w:rsidP="008700A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8700A6" w:rsidRDefault="00FE76E2" w:rsidP="008700A6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700A6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8700A6">
        <w:rPr>
          <w:rFonts w:eastAsiaTheme="minorHAnsi"/>
          <w:sz w:val="28"/>
          <w:szCs w:val="28"/>
          <w:lang w:eastAsia="en-US"/>
        </w:rPr>
        <w:t xml:space="preserve"> </w:t>
      </w:r>
      <w:r w:rsidRPr="008700A6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8700A6">
        <w:rPr>
          <w:rFonts w:eastAsiaTheme="minorHAnsi"/>
          <w:sz w:val="28"/>
          <w:szCs w:val="28"/>
          <w:lang w:eastAsia="en-US"/>
        </w:rPr>
        <w:t xml:space="preserve"> </w:t>
      </w:r>
      <w:r w:rsidRPr="008700A6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8700A6">
        <w:rPr>
          <w:rFonts w:eastAsiaTheme="minorHAnsi"/>
          <w:sz w:val="28"/>
          <w:szCs w:val="28"/>
          <w:lang w:eastAsia="en-US"/>
        </w:rPr>
        <w:t xml:space="preserve">   </w:t>
      </w:r>
      <w:r w:rsidRPr="008700A6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8700A6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8700A6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8700A6">
        <w:rPr>
          <w:rFonts w:eastAsiaTheme="minorHAnsi"/>
          <w:sz w:val="28"/>
          <w:szCs w:val="28"/>
          <w:lang w:eastAsia="en-US"/>
        </w:rPr>
        <w:t xml:space="preserve"> </w:t>
      </w:r>
      <w:r w:rsidRPr="008700A6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8700A6" w:rsidSect="008700A6">
      <w:footerReference w:type="default" r:id="rId9"/>
      <w:pgSz w:w="11907" w:h="16840"/>
      <w:pgMar w:top="851" w:right="992" w:bottom="709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64" w:rsidRDefault="00D15B64" w:rsidP="004C638C">
      <w:r>
        <w:separator/>
      </w:r>
    </w:p>
  </w:endnote>
  <w:endnote w:type="continuationSeparator" w:id="0">
    <w:p w:rsidR="00D15B64" w:rsidRDefault="00D15B64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A74749" w:rsidRPr="00E66F62" w:rsidRDefault="00A74749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8700A6">
          <w:rPr>
            <w:rFonts w:ascii="Times New Roman" w:hAnsi="Times New Roman" w:cs="Times New Roman"/>
            <w:noProof/>
          </w:rPr>
          <w:t>5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64" w:rsidRDefault="00D15B64" w:rsidP="004C638C">
      <w:r>
        <w:separator/>
      </w:r>
    </w:p>
  </w:footnote>
  <w:footnote w:type="continuationSeparator" w:id="0">
    <w:p w:rsidR="00D15B64" w:rsidRDefault="00D15B64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6DE7"/>
    <w:multiLevelType w:val="hybridMultilevel"/>
    <w:tmpl w:val="2A4024C0"/>
    <w:lvl w:ilvl="0" w:tplc="69E605A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2448"/>
    <w:multiLevelType w:val="hybridMultilevel"/>
    <w:tmpl w:val="644E9EC6"/>
    <w:lvl w:ilvl="0" w:tplc="80AE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732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A66168"/>
    <w:multiLevelType w:val="hybridMultilevel"/>
    <w:tmpl w:val="74869822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184E55"/>
    <w:multiLevelType w:val="hybridMultilevel"/>
    <w:tmpl w:val="CEC8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63616C"/>
    <w:multiLevelType w:val="hybridMultilevel"/>
    <w:tmpl w:val="65A87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F2C75"/>
    <w:multiLevelType w:val="hybridMultilevel"/>
    <w:tmpl w:val="794AA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7640F1"/>
    <w:multiLevelType w:val="hybridMultilevel"/>
    <w:tmpl w:val="35AC7C86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DD71EF"/>
    <w:multiLevelType w:val="multilevel"/>
    <w:tmpl w:val="EFC2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8061A46"/>
    <w:multiLevelType w:val="hybridMultilevel"/>
    <w:tmpl w:val="F4504E74"/>
    <w:lvl w:ilvl="0" w:tplc="B77CBB6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>
    <w:nsid w:val="67335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6FB4F65"/>
    <w:multiLevelType w:val="multilevel"/>
    <w:tmpl w:val="245C2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8"/>
  </w:num>
  <w:num w:numId="5">
    <w:abstractNumId w:val="9"/>
  </w:num>
  <w:num w:numId="6">
    <w:abstractNumId w:val="10"/>
  </w:num>
  <w:num w:numId="7">
    <w:abstractNumId w:val="20"/>
  </w:num>
  <w:num w:numId="8">
    <w:abstractNumId w:val="11"/>
  </w:num>
  <w:num w:numId="9">
    <w:abstractNumId w:val="1"/>
  </w:num>
  <w:num w:numId="10">
    <w:abstractNumId w:val="6"/>
  </w:num>
  <w:num w:numId="11">
    <w:abstractNumId w:val="17"/>
  </w:num>
  <w:num w:numId="12">
    <w:abstractNumId w:val="16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5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15">
    <w:abstractNumId w:val="4"/>
  </w:num>
  <w:num w:numId="16">
    <w:abstractNumId w:val="7"/>
  </w:num>
  <w:num w:numId="17">
    <w:abstractNumId w:val="13"/>
  </w:num>
  <w:num w:numId="18">
    <w:abstractNumId w:val="15"/>
  </w:num>
  <w:num w:numId="19">
    <w:abstractNumId w:val="5"/>
  </w:num>
  <w:num w:numId="20">
    <w:abstractNumId w:val="12"/>
  </w:num>
  <w:num w:numId="21">
    <w:abstractNumId w:val="3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4F8B"/>
    <w:rsid w:val="000D5FA8"/>
    <w:rsid w:val="000D67D7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194B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00FA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3872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4ECE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46A"/>
    <w:rsid w:val="00535939"/>
    <w:rsid w:val="00535A15"/>
    <w:rsid w:val="00536489"/>
    <w:rsid w:val="00536C4E"/>
    <w:rsid w:val="00537E6B"/>
    <w:rsid w:val="005400E5"/>
    <w:rsid w:val="0054193E"/>
    <w:rsid w:val="00542005"/>
    <w:rsid w:val="00543665"/>
    <w:rsid w:val="00543A63"/>
    <w:rsid w:val="0054673D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396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3AE4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5107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22BE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0A6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38D4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749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465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0F72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6809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5B2B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1E3D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5B64"/>
    <w:rsid w:val="00D1621A"/>
    <w:rsid w:val="00D1649A"/>
    <w:rsid w:val="00D2195A"/>
    <w:rsid w:val="00D22856"/>
    <w:rsid w:val="00D232F9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419"/>
    <w:rsid w:val="00D7669C"/>
    <w:rsid w:val="00D7685C"/>
    <w:rsid w:val="00D76E3C"/>
    <w:rsid w:val="00D77411"/>
    <w:rsid w:val="00D8026A"/>
    <w:rsid w:val="00D80A6F"/>
    <w:rsid w:val="00D80E7A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1434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0715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3D6D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856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2E59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A81A-3677-4957-A69D-0FAF0074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5</cp:revision>
  <cp:lastPrinted>2022-08-16T14:46:00Z</cp:lastPrinted>
  <dcterms:created xsi:type="dcterms:W3CDTF">2023-04-19T14:55:00Z</dcterms:created>
  <dcterms:modified xsi:type="dcterms:W3CDTF">2023-04-21T05:01:00Z</dcterms:modified>
</cp:coreProperties>
</file>