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6520" w:right="0" w:firstLine="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  <w:r>
        <w:rPr>
          <w:rFonts w:ascii="Times New Roman" w:hAnsi="Times New Roman"/>
          <w:sz w:val="24"/>
          <w:szCs w:val="26"/>
          <w:lang w:eastAsia="ru-RU"/>
        </w:rPr>
        <w:t xml:space="preserve">Приложение 1 </w:t>
      </w:r>
      <w:r>
        <w:rPr>
          <w:rFonts w:ascii="Times New Roman" w:hAnsi="Times New Roman"/>
          <w:sz w:val="24"/>
          <w:szCs w:val="26"/>
          <w:lang w:eastAsia="ru-RU"/>
        </w:rPr>
      </w:r>
      <w:r>
        <w:rPr>
          <w:rFonts w:ascii="Times New Roman" w:hAnsi="Times New Roman"/>
          <w:sz w:val="24"/>
          <w:szCs w:val="26"/>
          <w:lang w:eastAsia="ru-RU"/>
        </w:rPr>
      </w:r>
    </w:p>
    <w:p>
      <w:pPr>
        <w:pStyle w:val="617"/>
        <w:ind w:left="6520" w:right="0" w:firstLine="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6"/>
          <w:lang w:eastAsia="ru-RU"/>
        </w:rPr>
        <w:t xml:space="preserve">к Положению о СУОТ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ind w:left="6520" w:right="0" w:firstLine="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6"/>
          <w:highlight w:val="none"/>
          <w:lang w:eastAsia="ru-RU"/>
        </w:rPr>
        <w:t xml:space="preserve">Приказ ПАО «Россети»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ind w:left="6520" w:right="0" w:firstLine="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6"/>
          <w:highlight w:val="none"/>
          <w:lang w:eastAsia="ru-RU"/>
        </w:rPr>
        <w:t xml:space="preserve">от 20.09.2023 № 412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17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jc w:val="center"/>
        <w:spacing w:after="0" w:line="240" w:lineRule="auto"/>
        <w:widowControl w:val="off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Политика в области охраны труда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г</w:t>
      </w:r>
      <w:r>
        <w:rPr>
          <w:rFonts w:ascii="Times New Roman" w:hAnsi="Times New Roman"/>
          <w:b/>
          <w:sz w:val="26"/>
          <w:szCs w:val="26"/>
        </w:rPr>
        <w:t xml:space="preserve">руппы компаний «Россети»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617"/>
        <w:jc w:val="center"/>
        <w:spacing w:after="0" w:line="240" w:lineRule="auto"/>
        <w:widowControl w:val="off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617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ПАО</w:t>
      </w:r>
      <w:r>
        <w:rPr>
          <w:rFonts w:ascii="Times New Roman" w:hAnsi="Times New Roman"/>
          <w:sz w:val="26"/>
          <w:szCs w:val="26"/>
        </w:rPr>
        <w:t xml:space="preserve"> «Россети»</w:t>
      </w:r>
      <w:r>
        <w:rPr>
          <w:rFonts w:ascii="Times New Roman" w:hAnsi="Times New Roman"/>
          <w:sz w:val="26"/>
          <w:szCs w:val="26"/>
        </w:rPr>
        <w:t xml:space="preserve"> включая ДО</w:t>
      </w:r>
      <w:r>
        <w:rPr>
          <w:rFonts w:ascii="Times New Roman" w:hAnsi="Times New Roman"/>
          <w:sz w:val="26"/>
          <w:szCs w:val="26"/>
        </w:rPr>
        <w:t xml:space="preserve"> и филиалы</w:t>
      </w:r>
      <w:r>
        <w:rPr>
          <w:rFonts w:ascii="Times New Roman" w:hAnsi="Times New Roman"/>
          <w:sz w:val="26"/>
          <w:szCs w:val="26"/>
        </w:rPr>
        <w:t xml:space="preserve">, являясь одной из крупнейших электросетевых компаний в мире, осуществляющих деятельность по передаче и распределению электроэнергии, признает приоритетом сохранение жизни и здоровья работников </w:t>
      </w:r>
      <w:r>
        <w:rPr>
          <w:rFonts w:ascii="Times New Roman" w:hAnsi="Times New Roman"/>
          <w:sz w:val="26"/>
          <w:szCs w:val="26"/>
        </w:rPr>
        <w:t xml:space="preserve">в процессе их трудовой деятельности, а также посетителей и работников подрядных организаций, находящихся на объектах ГК, и декларирует, что главной ценностью является жизнь и здоровье каждого человека. Безопасное производство является базовой ценностью ГК.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jc w:val="center"/>
        <w:spacing w:after="0" w:line="240" w:lineRule="auto"/>
        <w:widowControl w:val="off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Цели </w:t>
      </w:r>
      <w:r>
        <w:rPr>
          <w:rFonts w:ascii="Times New Roman" w:hAnsi="Times New Roman"/>
          <w:b/>
          <w:sz w:val="26"/>
          <w:szCs w:val="26"/>
        </w:rPr>
        <w:t xml:space="preserve">организаций </w:t>
      </w:r>
      <w:r>
        <w:rPr>
          <w:rFonts w:ascii="Times New Roman" w:hAnsi="Times New Roman"/>
          <w:b/>
          <w:sz w:val="26"/>
          <w:szCs w:val="26"/>
        </w:rPr>
        <w:t xml:space="preserve">г</w:t>
      </w:r>
      <w:r>
        <w:rPr>
          <w:rFonts w:ascii="Times New Roman" w:hAnsi="Times New Roman"/>
          <w:b/>
          <w:sz w:val="26"/>
          <w:szCs w:val="26"/>
        </w:rPr>
        <w:t xml:space="preserve">руппы компаний </w:t>
      </w:r>
      <w:r>
        <w:rPr>
          <w:rFonts w:ascii="Times New Roman" w:hAnsi="Times New Roman"/>
          <w:b/>
          <w:sz w:val="26"/>
          <w:szCs w:val="26"/>
        </w:rPr>
        <w:t xml:space="preserve">«Россети» в области охраны труда: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617"/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eastAsia="FedraSansPro-Book"/>
          <w:sz w:val="26"/>
          <w:szCs w:val="26"/>
        </w:rPr>
      </w:pPr>
      <w:r>
        <w:rPr>
          <w:rFonts w:ascii="Times New Roman" w:hAnsi="Times New Roman" w:eastAsia="FedraSansPro-Book"/>
          <w:sz w:val="26"/>
          <w:szCs w:val="26"/>
        </w:rPr>
        <w:t xml:space="preserve">создание здоровых и безопасных условий труда;</w:t>
      </w:r>
      <w:r>
        <w:rPr>
          <w:rFonts w:ascii="Times New Roman" w:hAnsi="Times New Roman" w:eastAsia="FedraSansPro-Book"/>
          <w:sz w:val="26"/>
          <w:szCs w:val="26"/>
        </w:rPr>
      </w:r>
      <w:r>
        <w:rPr>
          <w:rFonts w:ascii="Times New Roman" w:hAnsi="Times New Roman" w:eastAsia="FedraSansPro-Book"/>
          <w:sz w:val="26"/>
          <w:szCs w:val="26"/>
        </w:rPr>
      </w:r>
    </w:p>
    <w:p>
      <w:pPr>
        <w:pStyle w:val="617"/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SimSun"/>
          <w:sz w:val="26"/>
          <w:szCs w:val="26"/>
          <w:lang w:eastAsia="zh-CN" w:bidi="hi-IN"/>
        </w:rPr>
        <w:t xml:space="preserve">снижение случаев производственного травматизма и профессиональных заболеваний</w:t>
      </w:r>
      <w:r>
        <w:rPr>
          <w:rFonts w:ascii="Times New Roman" w:hAnsi="Times New Roman"/>
          <w:sz w:val="26"/>
          <w:szCs w:val="26"/>
        </w:rPr>
        <w:t xml:space="preserve">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eastAsia="FedraSansPro-Book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снижение рисков</w:t>
      </w:r>
      <w:r>
        <w:rPr>
          <w:rFonts w:ascii="Times New Roman" w:hAnsi="Times New Roman" w:eastAsia="FedraSansPro-Book"/>
          <w:sz w:val="26"/>
          <w:szCs w:val="26"/>
        </w:rPr>
        <w:t xml:space="preserve"> аварий и инцидентов на опасных производственных объектах; </w:t>
      </w:r>
      <w:r>
        <w:rPr>
          <w:rFonts w:ascii="Times New Roman" w:hAnsi="Times New Roman" w:eastAsia="FedraSansPro-Book"/>
          <w:sz w:val="26"/>
          <w:szCs w:val="26"/>
        </w:rPr>
      </w:r>
      <w:r>
        <w:rPr>
          <w:rFonts w:ascii="Times New Roman" w:hAnsi="Times New Roman" w:eastAsia="FedraSansPro-Book"/>
          <w:sz w:val="26"/>
          <w:szCs w:val="26"/>
        </w:rPr>
      </w:r>
    </w:p>
    <w:p>
      <w:pPr>
        <w:pStyle w:val="617"/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eastAsia="FedraSansPro-Book"/>
          <w:sz w:val="26"/>
          <w:szCs w:val="26"/>
        </w:rPr>
      </w:pPr>
      <w:r>
        <w:rPr>
          <w:rFonts w:ascii="Times New Roman" w:hAnsi="Times New Roman" w:eastAsia="FedraSansPro-Book"/>
          <w:sz w:val="26"/>
          <w:szCs w:val="26"/>
        </w:rPr>
        <w:t xml:space="preserve">снижение рисков дорожно-транспортных происшествий, связанных с производственной деятельностью;</w:t>
      </w:r>
      <w:r>
        <w:rPr>
          <w:rFonts w:ascii="Times New Roman" w:hAnsi="Times New Roman" w:eastAsia="FedraSansPro-Book"/>
          <w:sz w:val="26"/>
          <w:szCs w:val="26"/>
        </w:rPr>
      </w:r>
      <w:r>
        <w:rPr>
          <w:rFonts w:ascii="Times New Roman" w:hAnsi="Times New Roman" w:eastAsia="FedraSansPro-Book"/>
          <w:sz w:val="26"/>
          <w:szCs w:val="26"/>
        </w:rPr>
      </w:r>
    </w:p>
    <w:p>
      <w:pPr>
        <w:pStyle w:val="617"/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eastAsia="FedraSansPro-Book"/>
          <w:sz w:val="26"/>
          <w:szCs w:val="26"/>
        </w:rPr>
      </w:pPr>
      <w:r>
        <w:rPr>
          <w:rFonts w:ascii="Times New Roman" w:hAnsi="Times New Roman" w:eastAsia="FedraSansPro-Book"/>
          <w:sz w:val="26"/>
          <w:szCs w:val="26"/>
        </w:rPr>
        <w:t xml:space="preserve">исключение рабочих мест с опасными условиями труда;</w:t>
      </w:r>
      <w:r>
        <w:rPr>
          <w:rFonts w:ascii="Times New Roman" w:hAnsi="Times New Roman" w:eastAsia="FedraSansPro-Book"/>
          <w:sz w:val="26"/>
          <w:szCs w:val="26"/>
        </w:rPr>
      </w:r>
      <w:r>
        <w:rPr>
          <w:rFonts w:ascii="Times New Roman" w:hAnsi="Times New Roman" w:eastAsia="FedraSansPro-Book"/>
          <w:sz w:val="26"/>
          <w:szCs w:val="26"/>
        </w:rPr>
      </w:r>
    </w:p>
    <w:p>
      <w:pPr>
        <w:pStyle w:val="617"/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eastAsia="FedraSansPro-Book"/>
          <w:sz w:val="26"/>
          <w:szCs w:val="26"/>
        </w:rPr>
      </w:pPr>
      <w:r>
        <w:rPr>
          <w:rFonts w:ascii="Times New Roman" w:hAnsi="Times New Roman" w:eastAsia="FedraSansPro-Book"/>
          <w:sz w:val="26"/>
          <w:szCs w:val="26"/>
        </w:rPr>
        <w:t xml:space="preserve">обеспечение высокого уровня корпоративной культуры безопасности производства.</w:t>
      </w:r>
      <w:r>
        <w:rPr>
          <w:rFonts w:ascii="Times New Roman" w:hAnsi="Times New Roman" w:eastAsia="FedraSansPro-Book"/>
          <w:sz w:val="26"/>
          <w:szCs w:val="26"/>
        </w:rPr>
      </w:r>
      <w:r>
        <w:rPr>
          <w:rFonts w:ascii="Times New Roman" w:hAnsi="Times New Roman" w:eastAsia="FedraSansPro-Book"/>
          <w:sz w:val="26"/>
          <w:szCs w:val="26"/>
        </w:rPr>
      </w:r>
    </w:p>
    <w:p>
      <w:pPr>
        <w:pStyle w:val="617"/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jc w:val="center"/>
        <w:spacing w:after="0" w:line="240" w:lineRule="auto"/>
        <w:widowControl w:val="off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Для достижения заявленных целей </w:t>
      </w:r>
      <w:r>
        <w:rPr>
          <w:rFonts w:ascii="Times New Roman" w:hAnsi="Times New Roman"/>
          <w:b/>
          <w:sz w:val="26"/>
          <w:szCs w:val="26"/>
        </w:rPr>
        <w:t xml:space="preserve">организации </w:t>
      </w:r>
      <w:r>
        <w:rPr>
          <w:rFonts w:ascii="Times New Roman" w:hAnsi="Times New Roman"/>
          <w:b/>
          <w:sz w:val="26"/>
          <w:szCs w:val="26"/>
        </w:rPr>
        <w:t xml:space="preserve">г</w:t>
      </w:r>
      <w:r>
        <w:rPr>
          <w:rFonts w:ascii="Times New Roman" w:hAnsi="Times New Roman"/>
          <w:b/>
          <w:sz w:val="26"/>
          <w:szCs w:val="26"/>
        </w:rPr>
        <w:t xml:space="preserve">руппы компаний</w:t>
      </w:r>
      <w:r>
        <w:rPr>
          <w:rFonts w:ascii="Times New Roman" w:hAnsi="Times New Roman"/>
          <w:b/>
          <w:sz w:val="26"/>
          <w:szCs w:val="26"/>
        </w:rPr>
        <w:t xml:space="preserve"> «Россети» </w:t>
      </w:r>
      <w:r>
        <w:rPr>
          <w:rFonts w:ascii="Times New Roman" w:hAnsi="Times New Roman"/>
          <w:b/>
          <w:sz w:val="26"/>
          <w:szCs w:val="26"/>
        </w:rPr>
        <w:t xml:space="preserve">принимаю</w:t>
      </w:r>
      <w:r>
        <w:rPr>
          <w:rFonts w:ascii="Times New Roman" w:hAnsi="Times New Roman"/>
          <w:b/>
          <w:sz w:val="26"/>
          <w:szCs w:val="26"/>
        </w:rPr>
        <w:t xml:space="preserve">т на себя следующие обязательства: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617"/>
        <w:numPr>
          <w:ilvl w:val="0"/>
          <w:numId w:val="2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обеспечивать приоритет сохранения жизни и здоровья работников </w:t>
        <w:br/>
        <w:t xml:space="preserve">в процессе их трудовой деятельности над результатами производственной деятельности;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numPr>
          <w:ilvl w:val="0"/>
          <w:numId w:val="2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осуществление единой технической, экономической, энергетической политики при безусловном приоритете обеспечения безопасности;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numPr>
          <w:ilvl w:val="0"/>
          <w:numId w:val="2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обеспечивать соблюдение требований нормативных правовых актов, нормативных документов федерального, регионального и корпоративного уровней в области производственной безопасности;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numPr>
          <w:ilvl w:val="0"/>
          <w:numId w:val="2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обеспечивать безопасные условия труда работников на объектах электросетевого хозяйства, предупреждать случаи травмирования и ухудшения состояния здоровья работников;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обеспечивать эффективное функционирование и непрерывное совершенствование системы управления производственной безопасностью, в том числе развивая культуру производственной безопасности;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проявлять лидерство в вопросах безопасности, включая установление и демонстрирование личным примером высоких стандартов в целях безопасности;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осуществлять оценку рисков в области производственной безопасности, обеспечивать управление рисками для предупреждения возникновения травм, ухудшения здоровья работников, повреждения оборудования и имущества;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numPr>
          <w:ilvl w:val="0"/>
          <w:numId w:val="2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обеспечивать последовательное и непрерывное выполнение мероприятий, направленных на устранение опасностей и снижение рисков в области производственной безопасности;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numPr>
          <w:ilvl w:val="0"/>
          <w:numId w:val="2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предупреждать случаи травмирования сторонних лиц, находящихся </w:t>
        <w:br/>
      </w:r>
      <w:r>
        <w:rPr>
          <w:rFonts w:ascii="Times New Roman" w:hAnsi="Times New Roman"/>
          <w:spacing w:val="-4"/>
          <w:sz w:val="26"/>
          <w:szCs w:val="26"/>
        </w:rPr>
        <w:t xml:space="preserve">на объектах электросетевого хозяйства </w:t>
      </w:r>
      <w:r>
        <w:rPr>
          <w:rFonts w:ascii="Times New Roman" w:hAnsi="Times New Roman"/>
          <w:spacing w:val="-4"/>
          <w:sz w:val="26"/>
          <w:szCs w:val="26"/>
        </w:rPr>
        <w:t xml:space="preserve">ОГК</w:t>
      </w:r>
      <w:r>
        <w:rPr>
          <w:rFonts w:ascii="Times New Roman" w:hAnsi="Times New Roman"/>
          <w:spacing w:val="-4"/>
          <w:sz w:val="26"/>
          <w:szCs w:val="26"/>
        </w:rPr>
        <w:t xml:space="preserve">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numPr>
          <w:ilvl w:val="0"/>
          <w:numId w:val="2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обеспечивать предотвращение аварий, инцидентов и происшествий;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numPr>
          <w:ilvl w:val="0"/>
          <w:numId w:val="2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устанавливать и поддерживать необходимую компетентность руководителей, специалистов и других работников для выполнения ими обязанностей, относящихся к обеспечению и соблюдению требований безопасности и охраны труда;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numPr>
          <w:ilvl w:val="0"/>
          <w:numId w:val="2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повышать мотивацию работников, соблюдающих требования охраны </w:t>
      </w:r>
      <w:r>
        <w:rPr>
          <w:rFonts w:ascii="Times New Roman" w:hAnsi="Times New Roman"/>
          <w:spacing w:val="-2"/>
          <w:sz w:val="26"/>
          <w:szCs w:val="26"/>
        </w:rPr>
        <w:t xml:space="preserve">труда в процессе трудовой деятельности, </w:t>
      </w:r>
      <w:r>
        <w:rPr>
          <w:rFonts w:ascii="Times New Roman" w:hAnsi="Times New Roman"/>
          <w:sz w:val="26"/>
          <w:szCs w:val="26"/>
        </w:rPr>
        <w:t xml:space="preserve">в том числе развивающих культуру производственной безопасности;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numPr>
          <w:ilvl w:val="0"/>
          <w:numId w:val="2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0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требовать от подрядчиков, осуществляющих деятельность в интересах </w:t>
      </w:r>
      <w:r>
        <w:rPr>
          <w:rFonts w:ascii="Times New Roman" w:hAnsi="Times New Roman"/>
          <w:sz w:val="26"/>
          <w:szCs w:val="26"/>
        </w:rPr>
        <w:t xml:space="preserve">г</w:t>
      </w:r>
      <w:r>
        <w:rPr>
          <w:rFonts w:ascii="Times New Roman" w:hAnsi="Times New Roman"/>
          <w:sz w:val="26"/>
          <w:szCs w:val="26"/>
        </w:rPr>
        <w:t xml:space="preserve">руппы компаний «Россети», соблюдения требований нормативных правовых актов, нормативных документов федерального, регионального и корпоративного уровней в области производственной безопасности;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numPr>
          <w:ilvl w:val="0"/>
          <w:numId w:val="2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привлекать работников к активному участию в управлении охраной труда.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17"/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Любые инициативы работников </w:t>
      </w:r>
      <w:r>
        <w:rPr>
          <w:rFonts w:ascii="Times New Roman" w:hAnsi="Times New Roman"/>
          <w:sz w:val="26"/>
          <w:szCs w:val="26"/>
        </w:rPr>
        <w:t xml:space="preserve">О</w:t>
      </w:r>
      <w:r>
        <w:rPr>
          <w:rFonts w:ascii="Times New Roman" w:hAnsi="Times New Roman"/>
          <w:sz w:val="26"/>
          <w:szCs w:val="26"/>
        </w:rPr>
        <w:t xml:space="preserve">ГК</w:t>
      </w:r>
      <w:r>
        <w:rPr>
          <w:rFonts w:ascii="Times New Roman" w:hAnsi="Times New Roman"/>
          <w:sz w:val="26"/>
          <w:szCs w:val="26"/>
        </w:rPr>
        <w:t xml:space="preserve"> и других заинтересованных сторон, направленные на обеспечение и улучшение условий и охраны труда, будут рассмотрены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по достоинству оценены.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r>
        <w:rPr>
          <w:rFonts w:ascii="Times New Roman" w:hAnsi="Times New Roman"/>
          <w:sz w:val="26"/>
          <w:szCs w:val="26"/>
        </w:rPr>
        <w:t xml:space="preserve">Руководство </w:t>
      </w:r>
      <w:r>
        <w:rPr>
          <w:rFonts w:ascii="Times New Roman" w:hAnsi="Times New Roman"/>
          <w:sz w:val="26"/>
          <w:szCs w:val="26"/>
        </w:rPr>
        <w:t xml:space="preserve">ОГК</w:t>
      </w:r>
      <w:r>
        <w:rPr>
          <w:rFonts w:ascii="Times New Roman" w:hAnsi="Times New Roman"/>
          <w:sz w:val="26"/>
          <w:szCs w:val="26"/>
        </w:rPr>
        <w:t xml:space="preserve"> берет на себя ответственность за реализацию настоящей Политики и обеспечение безопасных условий работы, включая обеспечение необходимыми ресурсами, и призывает всех сотрудников к личному лидерству в ее выполнении.</w:t>
      </w:r>
      <w:r/>
      <w:r>
        <w:rPr>
          <w:rFonts w:ascii="Times New Roman" w:hAnsi="Times New Roman"/>
          <w:sz w:val="26"/>
          <w:szCs w:val="26"/>
        </w:rPr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3030000020003"/>
  </w:font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FedraSansPro-Book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928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2025-12-18T14:37:34Z</dcterms:modified>
</cp:coreProperties>
</file>