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E40752">
        <w:trPr>
          <w:trHeight w:val="1007"/>
        </w:trPr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D84DA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11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14</w:t>
      </w:r>
    </w:p>
    <w:p w:rsidR="0088629E" w:rsidRDefault="004C12AA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Москва</w:t>
      </w:r>
    </w:p>
    <w:p w:rsidR="004C12AA" w:rsidRDefault="004C12AA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C12AA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Форма проведения заседания – </w:t>
      </w:r>
      <w:r w:rsidRPr="00D17C98">
        <w:rPr>
          <w:rFonts w:eastAsiaTheme="minorHAnsi"/>
          <w:sz w:val="28"/>
          <w:szCs w:val="28"/>
          <w:lang w:eastAsia="en-US"/>
        </w:rPr>
        <w:t>очно-заочная.</w:t>
      </w:r>
    </w:p>
    <w:p w:rsidR="004C12AA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>Дата проведения заседания Совета директоров: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84DAA" w:rsidRPr="00D84DAA">
        <w:rPr>
          <w:rFonts w:eastAsiaTheme="minorHAnsi"/>
          <w:sz w:val="28"/>
          <w:szCs w:val="28"/>
          <w:lang w:eastAsia="en-US"/>
        </w:rPr>
        <w:t>16</w:t>
      </w:r>
      <w:r w:rsidRPr="004C12AA">
        <w:rPr>
          <w:rFonts w:eastAsiaTheme="minorHAnsi"/>
          <w:sz w:val="28"/>
          <w:szCs w:val="28"/>
          <w:lang w:eastAsia="en-US"/>
        </w:rPr>
        <w:t>.</w:t>
      </w:r>
      <w:r w:rsidR="00D84DAA">
        <w:rPr>
          <w:rFonts w:eastAsiaTheme="minorHAnsi"/>
          <w:sz w:val="28"/>
          <w:szCs w:val="28"/>
          <w:lang w:eastAsia="en-US"/>
        </w:rPr>
        <w:t>11</w:t>
      </w:r>
      <w:r w:rsidRPr="004C12AA">
        <w:rPr>
          <w:rFonts w:eastAsiaTheme="minorHAnsi"/>
          <w:sz w:val="28"/>
          <w:szCs w:val="28"/>
          <w:lang w:eastAsia="en-US"/>
        </w:rPr>
        <w:t>.2018.</w:t>
      </w:r>
    </w:p>
    <w:p w:rsidR="004C12AA" w:rsidRPr="00D17C98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Время проведения заседания Совета директоров: </w:t>
      </w:r>
      <w:r w:rsidRPr="00D17C98">
        <w:rPr>
          <w:rFonts w:eastAsiaTheme="minorHAnsi"/>
          <w:sz w:val="28"/>
          <w:szCs w:val="28"/>
          <w:lang w:eastAsia="en-US"/>
        </w:rPr>
        <w:t>1</w:t>
      </w:r>
      <w:r w:rsidR="00D84DAA">
        <w:rPr>
          <w:rFonts w:eastAsiaTheme="minorHAnsi"/>
          <w:sz w:val="28"/>
          <w:szCs w:val="28"/>
          <w:lang w:eastAsia="en-US"/>
        </w:rPr>
        <w:t>2</w:t>
      </w:r>
      <w:r w:rsidRPr="00D17C98">
        <w:rPr>
          <w:rFonts w:eastAsiaTheme="minorHAnsi"/>
          <w:sz w:val="28"/>
          <w:szCs w:val="28"/>
          <w:lang w:eastAsia="en-US"/>
        </w:rPr>
        <w:t xml:space="preserve">.00 часов. </w:t>
      </w:r>
    </w:p>
    <w:p w:rsidR="004C12AA" w:rsidRPr="00D17C98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Место проведения </w:t>
      </w:r>
      <w:proofErr w:type="gramStart"/>
      <w:r w:rsidRPr="00D17C98">
        <w:rPr>
          <w:rFonts w:eastAsiaTheme="minorHAnsi"/>
          <w:b/>
          <w:sz w:val="28"/>
          <w:szCs w:val="28"/>
          <w:lang w:eastAsia="en-US"/>
        </w:rPr>
        <w:t xml:space="preserve">заседания:  </w:t>
      </w:r>
      <w:r w:rsidRPr="00D17C98">
        <w:rPr>
          <w:rFonts w:eastAsiaTheme="minorHAnsi"/>
          <w:sz w:val="28"/>
          <w:szCs w:val="28"/>
          <w:lang w:eastAsia="en-US"/>
        </w:rPr>
        <w:t>г.</w:t>
      </w:r>
      <w:proofErr w:type="gramEnd"/>
      <w:r w:rsidRPr="00D17C9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Москва</w:t>
      </w:r>
      <w:r w:rsidRPr="00D17C98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ул. Беловежская, </w:t>
      </w:r>
      <w:r w:rsidRPr="00DE4DC6">
        <w:rPr>
          <w:color w:val="000000"/>
          <w:spacing w:val="-3"/>
          <w:w w:val="102"/>
          <w:sz w:val="28"/>
          <w:szCs w:val="28"/>
        </w:rPr>
        <w:t>д. 4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88629E" w:rsidRPr="00155F5D" w:rsidRDefault="004C12AA" w:rsidP="004C12AA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>Председательствовал: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>Совета директоров</w:t>
      </w:r>
      <w:r w:rsidR="0088629E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B5161E">
        <w:rPr>
          <w:rFonts w:eastAsiaTheme="minorHAnsi"/>
          <w:sz w:val="28"/>
          <w:szCs w:val="28"/>
          <w:lang w:eastAsia="en-US"/>
        </w:rPr>
        <w:t>Маковский Игорь Владимирович</w:t>
      </w:r>
      <w:r>
        <w:rPr>
          <w:sz w:val="28"/>
          <w:szCs w:val="28"/>
        </w:rPr>
        <w:t>.</w:t>
      </w:r>
    </w:p>
    <w:p w:rsidR="00B5161E" w:rsidRPr="00FE2F3A" w:rsidRDefault="004C12AA" w:rsidP="001462F5">
      <w:pPr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b/>
          <w:sz w:val="28"/>
          <w:szCs w:val="28"/>
        </w:rPr>
        <w:t xml:space="preserve">Члены Совета </w:t>
      </w:r>
      <w:proofErr w:type="spellStart"/>
      <w:proofErr w:type="gramStart"/>
      <w:r w:rsidRPr="00D17C98">
        <w:rPr>
          <w:b/>
          <w:sz w:val="28"/>
          <w:szCs w:val="28"/>
        </w:rPr>
        <w:t>директоров,принявшие</w:t>
      </w:r>
      <w:proofErr w:type="spellEnd"/>
      <w:proofErr w:type="gramEnd"/>
      <w:r w:rsidRPr="00D17C98">
        <w:rPr>
          <w:b/>
          <w:sz w:val="28"/>
          <w:szCs w:val="28"/>
        </w:rPr>
        <w:t xml:space="preserve"> участие в </w:t>
      </w:r>
      <w:proofErr w:type="spellStart"/>
      <w:r w:rsidRPr="00D17C98">
        <w:rPr>
          <w:b/>
          <w:sz w:val="28"/>
          <w:szCs w:val="28"/>
        </w:rPr>
        <w:t>заседании:</w:t>
      </w:r>
      <w:r w:rsidR="001462F5">
        <w:rPr>
          <w:rFonts w:eastAsiaTheme="minorHAnsi"/>
          <w:sz w:val="28"/>
          <w:szCs w:val="28"/>
          <w:lang w:eastAsia="en-US"/>
        </w:rPr>
        <w:t>Маковский</w:t>
      </w:r>
      <w:proofErr w:type="spellEnd"/>
      <w:r w:rsidR="001462F5">
        <w:rPr>
          <w:rFonts w:eastAsiaTheme="minorHAnsi"/>
          <w:sz w:val="28"/>
          <w:szCs w:val="28"/>
          <w:lang w:eastAsia="en-US"/>
        </w:rPr>
        <w:t xml:space="preserve"> И.В.</w:t>
      </w:r>
      <w:r w:rsidRPr="00D17C98">
        <w:rPr>
          <w:b/>
          <w:sz w:val="28"/>
          <w:szCs w:val="28"/>
        </w:rPr>
        <w:t xml:space="preserve"> </w:t>
      </w:r>
      <w:r w:rsidR="0088629E" w:rsidRPr="004B23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155F5D" w:rsidRPr="004B2351">
        <w:rPr>
          <w:sz w:val="28"/>
          <w:szCs w:val="28"/>
        </w:rPr>
        <w:t xml:space="preserve"> </w:t>
      </w:r>
      <w:r w:rsidR="00B5161E" w:rsidRPr="00FE2F3A">
        <w:rPr>
          <w:sz w:val="28"/>
          <w:szCs w:val="28"/>
        </w:rPr>
        <w:t>Бычко М.А.,</w:t>
      </w:r>
      <w:r w:rsidR="00B5161E">
        <w:rPr>
          <w:sz w:val="28"/>
          <w:szCs w:val="28"/>
        </w:rPr>
        <w:t xml:space="preserve"> </w:t>
      </w:r>
      <w:r w:rsidR="00B5161E" w:rsidRPr="00FE2F3A">
        <w:rPr>
          <w:rFonts w:eastAsiaTheme="minorHAnsi"/>
          <w:sz w:val="28"/>
          <w:szCs w:val="28"/>
          <w:lang w:eastAsia="en-US"/>
        </w:rPr>
        <w:t>Колесников М.А</w:t>
      </w:r>
      <w:r w:rsidR="00B5161E">
        <w:rPr>
          <w:rFonts w:eastAsiaTheme="minorHAnsi"/>
          <w:sz w:val="28"/>
          <w:szCs w:val="28"/>
          <w:lang w:eastAsia="en-US"/>
        </w:rPr>
        <w:t>,</w:t>
      </w:r>
      <w:r w:rsidR="00B5161E" w:rsidRPr="00FE2F3A">
        <w:rPr>
          <w:rFonts w:eastAsiaTheme="minorHAnsi"/>
          <w:sz w:val="28"/>
          <w:szCs w:val="28"/>
          <w:lang w:eastAsia="en-US"/>
        </w:rPr>
        <w:t xml:space="preserve"> Ожерельев А. А., Парамонова Н.В.</w:t>
      </w:r>
    </w:p>
    <w:p w:rsidR="00597E4F" w:rsidRDefault="00597E4F" w:rsidP="00597E4F">
      <w:pPr>
        <w:jc w:val="both"/>
        <w:rPr>
          <w:sz w:val="28"/>
          <w:szCs w:val="28"/>
        </w:rPr>
      </w:pPr>
      <w:r w:rsidRPr="00D17C98">
        <w:rPr>
          <w:sz w:val="28"/>
          <w:szCs w:val="28"/>
        </w:rPr>
        <w:t>Член</w:t>
      </w:r>
      <w:r w:rsidR="00D84DAA">
        <w:rPr>
          <w:sz w:val="28"/>
          <w:szCs w:val="28"/>
        </w:rPr>
        <w:t>ы</w:t>
      </w:r>
      <w:r w:rsidRPr="00D17C98">
        <w:rPr>
          <w:sz w:val="28"/>
          <w:szCs w:val="28"/>
        </w:rPr>
        <w:t xml:space="preserve"> Совета директоров</w:t>
      </w:r>
      <w:r w:rsidR="00D84DAA" w:rsidRPr="00D84DAA">
        <w:rPr>
          <w:sz w:val="28"/>
          <w:szCs w:val="28"/>
        </w:rPr>
        <w:t xml:space="preserve"> </w:t>
      </w:r>
      <w:r w:rsidR="00D84DAA">
        <w:rPr>
          <w:sz w:val="28"/>
          <w:szCs w:val="28"/>
        </w:rPr>
        <w:t>Ольхович Е.А.</w:t>
      </w:r>
      <w:r w:rsidR="00D84DAA" w:rsidRPr="004B2351">
        <w:rPr>
          <w:sz w:val="28"/>
          <w:szCs w:val="28"/>
        </w:rPr>
        <w:t>,</w:t>
      </w:r>
      <w:r w:rsidR="00B5161E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 А.И.</w:t>
      </w:r>
      <w:r w:rsidRPr="00D17C98">
        <w:rPr>
          <w:sz w:val="28"/>
          <w:szCs w:val="28"/>
        </w:rPr>
        <w:t xml:space="preserve"> представил</w:t>
      </w:r>
      <w:r w:rsidR="00D84DAA">
        <w:rPr>
          <w:sz w:val="28"/>
          <w:szCs w:val="28"/>
        </w:rPr>
        <w:t>и</w:t>
      </w:r>
      <w:r w:rsidRPr="00D17C98">
        <w:rPr>
          <w:sz w:val="28"/>
          <w:szCs w:val="28"/>
        </w:rPr>
        <w:t xml:space="preserve"> письменное мнение.</w:t>
      </w:r>
    </w:p>
    <w:p w:rsidR="002E519F" w:rsidRPr="00D17C98" w:rsidRDefault="002E519F" w:rsidP="002E519F">
      <w:pPr>
        <w:jc w:val="both"/>
        <w:rPr>
          <w:sz w:val="28"/>
          <w:szCs w:val="28"/>
        </w:rPr>
      </w:pPr>
      <w:r w:rsidRPr="00D17C98">
        <w:rPr>
          <w:sz w:val="28"/>
          <w:szCs w:val="28"/>
        </w:rPr>
        <w:t xml:space="preserve">Число членов Совета директоров, принявших участие в голосовании, составляет </w:t>
      </w:r>
      <w:r>
        <w:rPr>
          <w:sz w:val="28"/>
          <w:szCs w:val="28"/>
        </w:rPr>
        <w:t>7</w:t>
      </w:r>
      <w:r w:rsidRPr="00D17C98">
        <w:rPr>
          <w:sz w:val="28"/>
          <w:szCs w:val="28"/>
        </w:rPr>
        <w:t xml:space="preserve"> из 7 избранных членов Совета директоров.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4C12AA" w:rsidRDefault="004C12AA" w:rsidP="004C12AA">
      <w:pPr>
        <w:tabs>
          <w:tab w:val="left" w:pos="993"/>
          <w:tab w:val="num" w:pos="1495"/>
        </w:tabs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Приглашенные представители </w:t>
      </w:r>
      <w:r w:rsidRPr="00D17C98">
        <w:rPr>
          <w:rFonts w:eastAsiaTheme="minorHAnsi"/>
          <w:b/>
          <w:sz w:val="28"/>
          <w:szCs w:val="28"/>
          <w:lang w:eastAsia="en-US"/>
        </w:rPr>
        <w:t>АО «Янтарьэнерго»:</w:t>
      </w:r>
    </w:p>
    <w:p w:rsidR="006074A7" w:rsidRPr="006074A7" w:rsidRDefault="006074A7" w:rsidP="006074A7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074A7">
        <w:rPr>
          <w:rFonts w:eastAsiaTheme="minorHAnsi"/>
          <w:sz w:val="28"/>
          <w:szCs w:val="28"/>
          <w:lang w:eastAsia="en-US"/>
        </w:rPr>
        <w:t>Юткин</w:t>
      </w:r>
      <w:proofErr w:type="spellEnd"/>
      <w:r w:rsidRPr="006074A7">
        <w:rPr>
          <w:rFonts w:eastAsiaTheme="minorHAnsi"/>
          <w:sz w:val="28"/>
          <w:szCs w:val="28"/>
          <w:lang w:eastAsia="en-US"/>
        </w:rPr>
        <w:t xml:space="preserve"> К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6074A7">
        <w:rPr>
          <w:rFonts w:eastAsiaTheme="minorHAnsi"/>
          <w:sz w:val="28"/>
          <w:szCs w:val="28"/>
          <w:lang w:eastAsia="en-US"/>
        </w:rPr>
        <w:t xml:space="preserve"> А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="00F7308A">
        <w:rPr>
          <w:rFonts w:eastAsiaTheme="minorHAnsi"/>
          <w:sz w:val="28"/>
          <w:szCs w:val="28"/>
          <w:lang w:eastAsia="en-US"/>
        </w:rPr>
        <w:t xml:space="preserve">  </w:t>
      </w:r>
      <w:r w:rsidR="00FC6E83" w:rsidRPr="00486344">
        <w:rPr>
          <w:sz w:val="28"/>
          <w:szCs w:val="28"/>
        </w:rPr>
        <w:t>–</w:t>
      </w:r>
      <w:r w:rsidRPr="006074A7">
        <w:rPr>
          <w:rFonts w:eastAsiaTheme="minorHAnsi"/>
          <w:sz w:val="28"/>
          <w:szCs w:val="28"/>
          <w:lang w:eastAsia="en-US"/>
        </w:rPr>
        <w:tab/>
      </w:r>
      <w:r w:rsidR="002E7C73">
        <w:rPr>
          <w:rFonts w:eastAsiaTheme="minorHAnsi"/>
          <w:sz w:val="28"/>
          <w:szCs w:val="28"/>
          <w:lang w:eastAsia="en-US"/>
        </w:rPr>
        <w:t>г</w:t>
      </w:r>
      <w:r w:rsidRPr="006074A7">
        <w:rPr>
          <w:rFonts w:eastAsiaTheme="minorHAnsi"/>
          <w:sz w:val="28"/>
          <w:szCs w:val="28"/>
          <w:lang w:eastAsia="en-US"/>
        </w:rPr>
        <w:t>енеральный директор</w:t>
      </w:r>
      <w:r>
        <w:rPr>
          <w:rFonts w:eastAsiaTheme="minorHAnsi"/>
          <w:sz w:val="28"/>
          <w:szCs w:val="28"/>
          <w:lang w:eastAsia="en-US"/>
        </w:rPr>
        <w:t xml:space="preserve">; </w:t>
      </w:r>
      <w:r w:rsidRPr="006074A7">
        <w:rPr>
          <w:rFonts w:eastAsiaTheme="minorHAnsi"/>
          <w:sz w:val="28"/>
          <w:szCs w:val="28"/>
          <w:lang w:eastAsia="en-US"/>
        </w:rPr>
        <w:t xml:space="preserve"> </w:t>
      </w:r>
    </w:p>
    <w:p w:rsidR="00486344" w:rsidRPr="00486344" w:rsidRDefault="004C12AA" w:rsidP="00CD4FE9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486344">
        <w:rPr>
          <w:sz w:val="28"/>
          <w:szCs w:val="28"/>
        </w:rPr>
        <w:t>Редько И.В.</w:t>
      </w:r>
      <w:r w:rsidR="00486344" w:rsidRPr="00486344">
        <w:rPr>
          <w:sz w:val="28"/>
          <w:szCs w:val="28"/>
        </w:rPr>
        <w:t xml:space="preserve"> </w:t>
      </w:r>
      <w:r w:rsidRPr="00486344">
        <w:rPr>
          <w:sz w:val="28"/>
          <w:szCs w:val="28"/>
        </w:rPr>
        <w:t xml:space="preserve">– </w:t>
      </w:r>
      <w:r w:rsidR="00486344">
        <w:rPr>
          <w:sz w:val="28"/>
          <w:szCs w:val="28"/>
        </w:rPr>
        <w:t>п</w:t>
      </w:r>
      <w:r w:rsidR="00486344" w:rsidRPr="00486344">
        <w:rPr>
          <w:sz w:val="28"/>
          <w:szCs w:val="28"/>
        </w:rPr>
        <w:t xml:space="preserve">ервый </w:t>
      </w:r>
      <w:r w:rsidRPr="00486344">
        <w:rPr>
          <w:sz w:val="28"/>
          <w:szCs w:val="28"/>
        </w:rPr>
        <w:t>заместитель генерального директора</w:t>
      </w:r>
      <w:r w:rsidR="00486344">
        <w:rPr>
          <w:sz w:val="28"/>
          <w:szCs w:val="28"/>
        </w:rPr>
        <w:t>;</w:t>
      </w:r>
    </w:p>
    <w:p w:rsidR="00486344" w:rsidRDefault="00486344" w:rsidP="00CD4FE9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Савостин А.Д. </w:t>
      </w:r>
      <w:r w:rsidR="00FC6E83" w:rsidRPr="00486344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з</w:t>
      </w:r>
      <w:r w:rsidRPr="00486344">
        <w:rPr>
          <w:rFonts w:eastAsiaTheme="minorHAnsi"/>
          <w:bCs/>
          <w:sz w:val="28"/>
          <w:szCs w:val="28"/>
          <w:lang w:eastAsia="en-US"/>
        </w:rPr>
        <w:t xml:space="preserve">аместитель генерального директора </w:t>
      </w:r>
      <w:r w:rsidRPr="00486344">
        <w:rPr>
          <w:rFonts w:eastAsiaTheme="minorHAnsi"/>
          <w:sz w:val="28"/>
          <w:szCs w:val="28"/>
          <w:lang w:eastAsia="en-US"/>
        </w:rPr>
        <w:t>по реализации и развитию услуг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A653E" w:rsidRPr="00486344" w:rsidRDefault="003A653E" w:rsidP="003A653E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3A653E">
        <w:rPr>
          <w:rFonts w:eastAsiaTheme="minorHAnsi"/>
          <w:sz w:val="28"/>
          <w:szCs w:val="28"/>
          <w:lang w:eastAsia="en-US"/>
        </w:rPr>
        <w:t>Селиверстов А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3A653E">
        <w:rPr>
          <w:rFonts w:eastAsiaTheme="minorHAnsi"/>
          <w:sz w:val="28"/>
          <w:szCs w:val="28"/>
          <w:lang w:eastAsia="en-US"/>
        </w:rPr>
        <w:t>В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="00FC6E83">
        <w:rPr>
          <w:rFonts w:eastAsiaTheme="minorHAnsi"/>
          <w:sz w:val="28"/>
          <w:szCs w:val="28"/>
          <w:lang w:eastAsia="en-US"/>
        </w:rPr>
        <w:t xml:space="preserve">  </w:t>
      </w:r>
      <w:r w:rsidR="00FC6E83" w:rsidRPr="00486344">
        <w:rPr>
          <w:sz w:val="28"/>
          <w:szCs w:val="28"/>
        </w:rPr>
        <w:t>–</w:t>
      </w:r>
      <w:r w:rsidRPr="003A653E">
        <w:rPr>
          <w:rFonts w:eastAsiaTheme="minorHAnsi"/>
          <w:sz w:val="28"/>
          <w:szCs w:val="28"/>
          <w:lang w:eastAsia="en-US"/>
        </w:rPr>
        <w:tab/>
      </w:r>
      <w:proofErr w:type="spellStart"/>
      <w:r w:rsidR="00412B48">
        <w:rPr>
          <w:rFonts w:eastAsiaTheme="minorHAnsi"/>
          <w:sz w:val="28"/>
          <w:szCs w:val="28"/>
          <w:lang w:eastAsia="en-US"/>
        </w:rPr>
        <w:t>в</w:t>
      </w:r>
      <w:r w:rsidRPr="003A653E">
        <w:rPr>
          <w:rFonts w:eastAsiaTheme="minorHAnsi"/>
          <w:sz w:val="28"/>
          <w:szCs w:val="28"/>
          <w:lang w:eastAsia="en-US"/>
        </w:rPr>
        <w:t>рио</w:t>
      </w:r>
      <w:proofErr w:type="spellEnd"/>
      <w:r w:rsidR="00090541">
        <w:rPr>
          <w:rFonts w:eastAsiaTheme="minorHAnsi"/>
          <w:sz w:val="28"/>
          <w:szCs w:val="28"/>
          <w:lang w:eastAsia="en-US"/>
        </w:rPr>
        <w:t xml:space="preserve"> </w:t>
      </w:r>
      <w:r w:rsidRPr="003A653E">
        <w:rPr>
          <w:rFonts w:eastAsiaTheme="minorHAnsi"/>
          <w:sz w:val="28"/>
          <w:szCs w:val="28"/>
          <w:lang w:eastAsia="en-US"/>
        </w:rPr>
        <w:t>заместителя генерального директора по капитальному строительству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A0BCD" w:rsidRPr="00FA0BCD" w:rsidRDefault="00FA0BCD" w:rsidP="00FA0BCD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FA0BCD">
        <w:rPr>
          <w:rFonts w:eastAsiaTheme="minorHAnsi"/>
          <w:sz w:val="28"/>
          <w:szCs w:val="28"/>
          <w:lang w:eastAsia="en-US"/>
        </w:rPr>
        <w:t>Сухотина И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FA0BCD">
        <w:rPr>
          <w:rFonts w:eastAsiaTheme="minorHAnsi"/>
          <w:sz w:val="28"/>
          <w:szCs w:val="28"/>
          <w:lang w:eastAsia="en-US"/>
        </w:rPr>
        <w:t xml:space="preserve"> Л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="00FC6E83">
        <w:rPr>
          <w:rFonts w:eastAsiaTheme="minorHAnsi"/>
          <w:sz w:val="28"/>
          <w:szCs w:val="28"/>
          <w:lang w:eastAsia="en-US"/>
        </w:rPr>
        <w:t xml:space="preserve">   </w:t>
      </w:r>
      <w:r w:rsidR="00FC6E83" w:rsidRPr="00486344">
        <w:rPr>
          <w:sz w:val="28"/>
          <w:szCs w:val="28"/>
        </w:rPr>
        <w:t>–</w:t>
      </w:r>
      <w:r w:rsidR="00FC6E83">
        <w:rPr>
          <w:rFonts w:eastAsiaTheme="minorHAnsi"/>
          <w:sz w:val="28"/>
          <w:szCs w:val="28"/>
          <w:lang w:eastAsia="en-US"/>
        </w:rPr>
        <w:t xml:space="preserve">    </w:t>
      </w:r>
      <w:r w:rsidRPr="00FA0BCD">
        <w:rPr>
          <w:rFonts w:eastAsiaTheme="minorHAnsi"/>
          <w:sz w:val="28"/>
          <w:szCs w:val="28"/>
          <w:lang w:eastAsia="en-US"/>
        </w:rPr>
        <w:tab/>
      </w:r>
      <w:r w:rsidR="005B4A24">
        <w:rPr>
          <w:rFonts w:eastAsiaTheme="minorHAnsi"/>
          <w:sz w:val="28"/>
          <w:szCs w:val="28"/>
          <w:lang w:eastAsia="en-US"/>
        </w:rPr>
        <w:t>н</w:t>
      </w:r>
      <w:r w:rsidRPr="00FA0BCD">
        <w:rPr>
          <w:rFonts w:eastAsiaTheme="minorHAnsi"/>
          <w:sz w:val="28"/>
          <w:szCs w:val="28"/>
          <w:lang w:eastAsia="en-US"/>
        </w:rPr>
        <w:t xml:space="preserve">ачальник </w:t>
      </w:r>
      <w:r w:rsidR="005B4A24">
        <w:rPr>
          <w:rFonts w:eastAsiaTheme="minorHAnsi"/>
          <w:sz w:val="28"/>
          <w:szCs w:val="28"/>
          <w:lang w:eastAsia="en-US"/>
        </w:rPr>
        <w:t>д</w:t>
      </w:r>
      <w:r w:rsidRPr="00FA0BCD">
        <w:rPr>
          <w:rFonts w:eastAsiaTheme="minorHAnsi"/>
          <w:sz w:val="28"/>
          <w:szCs w:val="28"/>
          <w:lang w:eastAsia="en-US"/>
        </w:rPr>
        <w:t xml:space="preserve">епартамента экономики и </w:t>
      </w:r>
      <w:proofErr w:type="spellStart"/>
      <w:r w:rsidRPr="00FA0BCD">
        <w:rPr>
          <w:rFonts w:eastAsiaTheme="minorHAnsi"/>
          <w:sz w:val="28"/>
          <w:szCs w:val="28"/>
          <w:lang w:eastAsia="en-US"/>
        </w:rPr>
        <w:t>тарифообразования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FA0BCD" w:rsidRPr="00FA0BCD" w:rsidRDefault="00FA0BCD" w:rsidP="00FA0BCD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FA0BCD">
        <w:rPr>
          <w:rFonts w:eastAsiaTheme="minorHAnsi"/>
          <w:sz w:val="28"/>
          <w:szCs w:val="28"/>
          <w:lang w:eastAsia="en-US"/>
        </w:rPr>
        <w:t>Малинаускене Т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FA0BCD">
        <w:rPr>
          <w:rFonts w:eastAsiaTheme="minorHAnsi"/>
          <w:sz w:val="28"/>
          <w:szCs w:val="28"/>
          <w:lang w:eastAsia="en-US"/>
        </w:rPr>
        <w:t xml:space="preserve"> В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FA0BCD">
        <w:rPr>
          <w:rFonts w:eastAsiaTheme="minorHAnsi"/>
          <w:sz w:val="28"/>
          <w:szCs w:val="28"/>
          <w:lang w:eastAsia="en-US"/>
        </w:rPr>
        <w:tab/>
      </w:r>
      <w:r w:rsidR="003A653E">
        <w:rPr>
          <w:rFonts w:eastAsiaTheme="minorHAnsi"/>
          <w:sz w:val="28"/>
          <w:szCs w:val="28"/>
          <w:lang w:eastAsia="en-US"/>
        </w:rPr>
        <w:t xml:space="preserve">  </w:t>
      </w:r>
      <w:r w:rsidR="00FC6E83" w:rsidRPr="00486344">
        <w:rPr>
          <w:sz w:val="28"/>
          <w:szCs w:val="28"/>
        </w:rPr>
        <w:t>–</w:t>
      </w:r>
      <w:r w:rsidR="00FC6E83">
        <w:rPr>
          <w:sz w:val="28"/>
          <w:szCs w:val="28"/>
        </w:rPr>
        <w:t xml:space="preserve"> </w:t>
      </w:r>
      <w:r w:rsidR="005B4A24">
        <w:rPr>
          <w:sz w:val="28"/>
          <w:szCs w:val="28"/>
        </w:rPr>
        <w:t>н</w:t>
      </w:r>
      <w:r w:rsidRPr="00FA0BCD">
        <w:rPr>
          <w:rFonts w:eastAsiaTheme="minorHAnsi"/>
          <w:sz w:val="28"/>
          <w:szCs w:val="28"/>
          <w:lang w:eastAsia="en-US"/>
        </w:rPr>
        <w:t>ачальник</w:t>
      </w:r>
      <w:r w:rsidR="003A653E">
        <w:rPr>
          <w:rFonts w:eastAsiaTheme="minorHAnsi"/>
          <w:sz w:val="28"/>
          <w:szCs w:val="28"/>
          <w:lang w:eastAsia="en-US"/>
        </w:rPr>
        <w:t xml:space="preserve"> </w:t>
      </w:r>
      <w:r w:rsidRPr="00FA0BCD">
        <w:rPr>
          <w:rFonts w:eastAsiaTheme="minorHAnsi"/>
          <w:sz w:val="28"/>
          <w:szCs w:val="28"/>
          <w:lang w:eastAsia="en-US"/>
        </w:rPr>
        <w:t>управления собственностью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A0BCD" w:rsidRDefault="00FA0BCD" w:rsidP="00FA0BCD">
      <w:pPr>
        <w:pStyle w:val="a7"/>
        <w:numPr>
          <w:ilvl w:val="0"/>
          <w:numId w:val="31"/>
        </w:num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FA0BCD">
        <w:rPr>
          <w:rFonts w:eastAsiaTheme="minorHAnsi"/>
          <w:sz w:val="28"/>
          <w:szCs w:val="28"/>
          <w:lang w:eastAsia="en-US"/>
        </w:rPr>
        <w:t>Куценко В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Pr="00FA0BCD">
        <w:rPr>
          <w:rFonts w:eastAsiaTheme="minorHAnsi"/>
          <w:sz w:val="28"/>
          <w:szCs w:val="28"/>
          <w:lang w:eastAsia="en-US"/>
        </w:rPr>
        <w:t>Г</w:t>
      </w:r>
      <w:r w:rsidR="00487EEC">
        <w:rPr>
          <w:rFonts w:eastAsiaTheme="minorHAnsi"/>
          <w:sz w:val="28"/>
          <w:szCs w:val="28"/>
          <w:lang w:eastAsia="en-US"/>
        </w:rPr>
        <w:t>.</w:t>
      </w:r>
      <w:r w:rsidR="00FC6E83">
        <w:rPr>
          <w:rFonts w:eastAsiaTheme="minorHAnsi"/>
          <w:sz w:val="28"/>
          <w:szCs w:val="28"/>
          <w:lang w:eastAsia="en-US"/>
        </w:rPr>
        <w:t xml:space="preserve">  </w:t>
      </w:r>
      <w:r w:rsidR="00FC6E83" w:rsidRPr="00486344">
        <w:rPr>
          <w:sz w:val="28"/>
          <w:szCs w:val="28"/>
        </w:rPr>
        <w:t>–</w:t>
      </w:r>
      <w:r w:rsidRPr="00FA0BCD">
        <w:rPr>
          <w:rFonts w:eastAsiaTheme="minorHAnsi"/>
          <w:sz w:val="28"/>
          <w:szCs w:val="28"/>
          <w:lang w:eastAsia="en-US"/>
        </w:rPr>
        <w:tab/>
      </w:r>
      <w:r w:rsidR="005B4A24">
        <w:rPr>
          <w:rFonts w:eastAsiaTheme="minorHAnsi"/>
          <w:sz w:val="28"/>
          <w:szCs w:val="28"/>
          <w:lang w:eastAsia="en-US"/>
        </w:rPr>
        <w:t>н</w:t>
      </w:r>
      <w:r w:rsidRPr="00FA0BCD">
        <w:rPr>
          <w:rFonts w:eastAsiaTheme="minorHAnsi"/>
          <w:sz w:val="28"/>
          <w:szCs w:val="28"/>
          <w:lang w:eastAsia="en-US"/>
        </w:rPr>
        <w:t>ачальник отдела корпоративного управления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C12AA" w:rsidRPr="00486344" w:rsidRDefault="004C12AA" w:rsidP="00486344">
      <w:pPr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486344">
        <w:rPr>
          <w:rFonts w:eastAsiaTheme="minorHAnsi"/>
          <w:b/>
          <w:sz w:val="28"/>
          <w:szCs w:val="28"/>
          <w:lang w:eastAsia="en-US"/>
        </w:rPr>
        <w:t>Корпоративный секретарь:</w:t>
      </w:r>
      <w:r w:rsidRPr="00486344">
        <w:rPr>
          <w:rFonts w:eastAsiaTheme="minorHAnsi"/>
          <w:sz w:val="28"/>
          <w:szCs w:val="28"/>
          <w:lang w:eastAsia="en-US"/>
        </w:rPr>
        <w:t xml:space="preserve"> Кремков В. В.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7388A" w:rsidRDefault="0057388A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388A" w:rsidRPr="0057388A" w:rsidRDefault="0057388A" w:rsidP="0057388A">
      <w:pPr>
        <w:numPr>
          <w:ilvl w:val="0"/>
          <w:numId w:val="3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57388A">
        <w:rPr>
          <w:color w:val="000000"/>
          <w:spacing w:val="-3"/>
          <w:w w:val="102"/>
          <w:sz w:val="28"/>
          <w:szCs w:val="28"/>
        </w:rPr>
        <w:t>О рассмотрении отчета об исполнении бизнес-плана АО «Янтарьэнерго» за 1 полугодие 2018 года.</w:t>
      </w:r>
    </w:p>
    <w:p w:rsidR="0057388A" w:rsidRPr="0057388A" w:rsidRDefault="0057388A" w:rsidP="0057388A">
      <w:pPr>
        <w:numPr>
          <w:ilvl w:val="0"/>
          <w:numId w:val="34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57388A">
        <w:rPr>
          <w:color w:val="000000"/>
          <w:spacing w:val="-3"/>
          <w:w w:val="102"/>
          <w:sz w:val="28"/>
          <w:szCs w:val="28"/>
        </w:rPr>
        <w:t xml:space="preserve">О рассмотрении Отчета генерального директора Общества об исполнении реестра непрофильных активов за 3 квартал 2018 года и </w:t>
      </w:r>
      <w:r w:rsidRPr="0057388A">
        <w:rPr>
          <w:color w:val="000000"/>
          <w:spacing w:val="-3"/>
          <w:w w:val="102"/>
          <w:sz w:val="28"/>
          <w:szCs w:val="28"/>
        </w:rPr>
        <w:lastRenderedPageBreak/>
        <w:t>утверждении актуализированного Реестра непрофильных активов Общества по состоянию на 30.09.2018.</w:t>
      </w:r>
    </w:p>
    <w:p w:rsidR="007F0CA7" w:rsidRDefault="007F0CA7" w:rsidP="007F0CA7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013760" w:rsidRDefault="007F0CA7" w:rsidP="007F0CA7">
      <w:p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Pr="007F0CA7">
        <w:rPr>
          <w:sz w:val="28"/>
          <w:szCs w:val="28"/>
        </w:rPr>
        <w:tab/>
        <w:t xml:space="preserve">О рассмотрении отчета об исполнении бизнес-плана </w:t>
      </w:r>
      <w:r w:rsidR="00807004">
        <w:rPr>
          <w:sz w:val="28"/>
          <w:szCs w:val="28"/>
        </w:rPr>
        <w:t xml:space="preserve">                       </w:t>
      </w:r>
      <w:r w:rsidRPr="007F0CA7">
        <w:rPr>
          <w:sz w:val="28"/>
          <w:szCs w:val="28"/>
        </w:rPr>
        <w:t>АО «Янтарьэнерго» за 1 полугодие 2018 года.</w:t>
      </w:r>
    </w:p>
    <w:p w:rsidR="004C12AA" w:rsidRPr="00D17C98" w:rsidRDefault="004C12AA" w:rsidP="004C12AA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bookmarkStart w:id="0" w:name="OLE_LINK1"/>
      <w:bookmarkStart w:id="1" w:name="OLE_LINK2"/>
      <w:r w:rsidRPr="004C12AA">
        <w:rPr>
          <w:rFonts w:eastAsiaTheme="minorHAnsi"/>
          <w:sz w:val="28"/>
          <w:szCs w:val="28"/>
          <w:lang w:eastAsia="en-US"/>
        </w:rPr>
        <w:t>первого заместителя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17C98">
        <w:rPr>
          <w:rFonts w:eastAsiaTheme="minorHAnsi"/>
          <w:sz w:val="28"/>
          <w:szCs w:val="28"/>
          <w:lang w:eastAsia="en-US"/>
        </w:rPr>
        <w:t xml:space="preserve">генерального директора И. В. </w:t>
      </w:r>
      <w:r>
        <w:rPr>
          <w:rFonts w:eastAsiaTheme="minorHAnsi"/>
          <w:sz w:val="28"/>
          <w:szCs w:val="28"/>
          <w:lang w:eastAsia="en-US"/>
        </w:rPr>
        <w:t>Редько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4C12AA" w:rsidRPr="00D17C98" w:rsidRDefault="004C12AA" w:rsidP="004C12AA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sz w:val="28"/>
          <w:szCs w:val="28"/>
          <w:lang w:eastAsia="en-US"/>
        </w:rPr>
        <w:t>Докладчик ответил на вопросы членов Совета директоров Общества.</w:t>
      </w:r>
    </w:p>
    <w:bookmarkEnd w:id="0"/>
    <w:bookmarkEnd w:id="1"/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1. Принять к сведению Отчет об исполнении бизнес-плана </w:t>
      </w:r>
      <w:r w:rsidRPr="00154EC4">
        <w:rPr>
          <w:bCs/>
          <w:sz w:val="28"/>
          <w:szCs w:val="28"/>
        </w:rPr>
        <w:br/>
        <w:t>АО «Янтарьэнерго» за 1 полугодие 2018 года согласно Приложению № 1 к настоящему решению Совета директоров Общества.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2. Отметить по итогам работы Общества за 1 полугодие 2018 года: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2.1. неисполнение плановых показателей в соответствии с Приложением № 2 к настоящему решению Совета директоров Общества.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2.2. существенное изменение оценки ключевых операционных рисков на 2018 год в соответствии с Приложением № 2 к настоящему решению Совета директоров Общества.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 Поручить Генеральному директору Общества: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3.1. обеспечить безусловное исполнение показателей бизнес-плана по итогам 2018 года, в том числе чистой прибыли по всем видам деятельности.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3.2. обеспечить реализацию дополнительных мероприятий по недопущению реализации ключевых операционных рисков в 2018 году, а также принять меры по повышению качества планирования, в соответствии с Приложением № 3 к настоящему решению Совета директоров Общества.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3.3. обеспечить контроль за прохождением Директивы представителям интересов Российской Федерации для участия в заседании Совета директоров ПАО «</w:t>
      </w:r>
      <w:proofErr w:type="gramStart"/>
      <w:r w:rsidRPr="00154EC4">
        <w:rPr>
          <w:bCs/>
          <w:sz w:val="28"/>
          <w:szCs w:val="28"/>
        </w:rPr>
        <w:t>Россети»  по</w:t>
      </w:r>
      <w:proofErr w:type="gramEnd"/>
      <w:r w:rsidRPr="00154EC4">
        <w:rPr>
          <w:bCs/>
          <w:sz w:val="28"/>
          <w:szCs w:val="28"/>
        </w:rPr>
        <w:t xml:space="preserve"> вопросу повестки дня </w:t>
      </w:r>
      <w:r w:rsidRPr="00154EC4">
        <w:rPr>
          <w:rFonts w:eastAsia="Calibri"/>
          <w:sz w:val="28"/>
          <w:szCs w:val="28"/>
          <w:lang w:eastAsia="en-US"/>
        </w:rPr>
        <w:t xml:space="preserve">заседания Совета директоров                      ПАО «Россети» </w:t>
      </w:r>
      <w:r w:rsidRPr="00154EC4">
        <w:rPr>
          <w:bCs/>
          <w:sz w:val="28"/>
          <w:szCs w:val="28"/>
        </w:rPr>
        <w:t>«Об участии ПАО «Россети» в АО «Янтарьэнерго».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Срок: постоянно. </w:t>
      </w:r>
    </w:p>
    <w:p w:rsidR="00933BDB" w:rsidRPr="00154EC4" w:rsidRDefault="00933BDB" w:rsidP="00933BDB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3.4. </w:t>
      </w:r>
      <w:r w:rsidR="004263B5">
        <w:rPr>
          <w:bCs/>
          <w:sz w:val="28"/>
          <w:szCs w:val="28"/>
        </w:rPr>
        <w:t>и</w:t>
      </w:r>
      <w:r w:rsidRPr="00154EC4">
        <w:rPr>
          <w:bCs/>
          <w:sz w:val="28"/>
          <w:szCs w:val="28"/>
        </w:rPr>
        <w:t>зучить возможность консолидации на базе АО «Янтарьэнерго» объектов электросетевого хозяйства АО «</w:t>
      </w:r>
      <w:proofErr w:type="spellStart"/>
      <w:r w:rsidRPr="00154EC4">
        <w:rPr>
          <w:bCs/>
          <w:sz w:val="28"/>
          <w:szCs w:val="28"/>
        </w:rPr>
        <w:t>Оборонэнерго</w:t>
      </w:r>
      <w:proofErr w:type="spellEnd"/>
      <w:r w:rsidRPr="00154EC4">
        <w:rPr>
          <w:bCs/>
          <w:sz w:val="28"/>
          <w:szCs w:val="28"/>
        </w:rPr>
        <w:t>», расположенных на территории Калининградской области, с учетом возможности зачета встречных однородных требований по оплате задолженностей.</w:t>
      </w:r>
    </w:p>
    <w:p w:rsidR="006F2559" w:rsidRDefault="006F2559" w:rsidP="006F255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6F2559" w:rsidRPr="0088629E" w:rsidTr="00247AF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6F2559" w:rsidRPr="0088629E" w:rsidRDefault="006F2559" w:rsidP="00247AF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F2559" w:rsidRPr="0088629E" w:rsidRDefault="006F2559" w:rsidP="00247AF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6F2559" w:rsidRPr="0088629E" w:rsidRDefault="006F2559" w:rsidP="00247AF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F2559" w:rsidRPr="0088629E" w:rsidTr="00247AF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6F2559" w:rsidRPr="0088629E" w:rsidRDefault="006F2559" w:rsidP="00247AF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6F2559" w:rsidRPr="0088629E" w:rsidRDefault="006F2559" w:rsidP="00247AF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F2559" w:rsidRPr="0088629E" w:rsidRDefault="006F2559" w:rsidP="00247AF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6F2559" w:rsidRPr="0088629E" w:rsidRDefault="006F2559" w:rsidP="00247AF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55AB" w:rsidRPr="0088629E" w:rsidTr="00247AFC">
        <w:tc>
          <w:tcPr>
            <w:tcW w:w="4583" w:type="dxa"/>
          </w:tcPr>
          <w:p w:rsidR="009655AB" w:rsidRPr="00621818" w:rsidRDefault="009655AB" w:rsidP="009655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9655AB" w:rsidRPr="00EE5B74" w:rsidRDefault="009655AB" w:rsidP="009655A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55AB" w:rsidRPr="0088629E" w:rsidTr="00247AFC">
        <w:tc>
          <w:tcPr>
            <w:tcW w:w="4583" w:type="dxa"/>
          </w:tcPr>
          <w:p w:rsidR="009655AB" w:rsidRPr="00621818" w:rsidRDefault="009655AB" w:rsidP="009655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55AB" w:rsidRPr="0088629E" w:rsidTr="00247AFC">
        <w:tc>
          <w:tcPr>
            <w:tcW w:w="4583" w:type="dxa"/>
            <w:tcBorders>
              <w:right w:val="single" w:sz="4" w:space="0" w:color="auto"/>
            </w:tcBorders>
          </w:tcPr>
          <w:p w:rsidR="009655AB" w:rsidRPr="00621818" w:rsidRDefault="009655AB" w:rsidP="009655A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55AB" w:rsidRPr="00C66365" w:rsidTr="00247AFC">
        <w:tc>
          <w:tcPr>
            <w:tcW w:w="4583" w:type="dxa"/>
          </w:tcPr>
          <w:p w:rsidR="009655AB" w:rsidRPr="00C66365" w:rsidRDefault="009655AB" w:rsidP="009655A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655AB" w:rsidRPr="00C6636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55AB" w:rsidRPr="0088629E" w:rsidTr="00247AFC">
        <w:tc>
          <w:tcPr>
            <w:tcW w:w="4583" w:type="dxa"/>
          </w:tcPr>
          <w:p w:rsidR="009655AB" w:rsidRPr="00621818" w:rsidRDefault="009655AB" w:rsidP="009655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55AB" w:rsidRPr="0088629E" w:rsidTr="00247AFC">
        <w:trPr>
          <w:trHeight w:val="310"/>
        </w:trPr>
        <w:tc>
          <w:tcPr>
            <w:tcW w:w="4583" w:type="dxa"/>
          </w:tcPr>
          <w:p w:rsidR="009655AB" w:rsidRPr="00621818" w:rsidRDefault="009655AB" w:rsidP="009655A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9655AB" w:rsidRPr="00A82295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55AB" w:rsidRPr="0088629E" w:rsidTr="00247AFC">
        <w:tc>
          <w:tcPr>
            <w:tcW w:w="4583" w:type="dxa"/>
          </w:tcPr>
          <w:p w:rsidR="009655AB" w:rsidRPr="00621818" w:rsidRDefault="009655AB" w:rsidP="00965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9655AB" w:rsidRPr="00EE5B74" w:rsidRDefault="009655AB" w:rsidP="009655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6F2559" w:rsidRDefault="006F2559" w:rsidP="006F255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  <w:bookmarkStart w:id="2" w:name="_GoBack"/>
      <w:bookmarkEnd w:id="2"/>
    </w:p>
    <w:p w:rsidR="000A7D5B" w:rsidRDefault="000A7D5B" w:rsidP="000A7D5B">
      <w:p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 xml:space="preserve">2 </w:t>
      </w:r>
      <w:r w:rsidRPr="003F23D4">
        <w:rPr>
          <w:rFonts w:eastAsiaTheme="minorHAnsi"/>
          <w:sz w:val="28"/>
          <w:szCs w:val="28"/>
          <w:lang w:eastAsia="en-US"/>
        </w:rPr>
        <w:t>:</w:t>
      </w:r>
      <w:proofErr w:type="gramEnd"/>
      <w:r w:rsidRPr="003F23D4">
        <w:rPr>
          <w:sz w:val="28"/>
          <w:szCs w:val="28"/>
        </w:rPr>
        <w:t xml:space="preserve"> </w:t>
      </w:r>
      <w:r w:rsidRPr="007F0CA7">
        <w:rPr>
          <w:sz w:val="28"/>
          <w:szCs w:val="28"/>
        </w:rPr>
        <w:tab/>
      </w:r>
      <w:r w:rsidRPr="000A7D5B">
        <w:rPr>
          <w:sz w:val="28"/>
          <w:szCs w:val="28"/>
        </w:rPr>
        <w:t>О рассмотрении Отчета генерального директора Общества об исполнении реестра непрофильных активов за 3 квартал 2018 года и утверждении актуализированного Реестра непрофильных активов Общества по состоянию на 30.09.2018.</w:t>
      </w:r>
    </w:p>
    <w:p w:rsidR="000A7D5B" w:rsidRPr="00D17C98" w:rsidRDefault="000A7D5B" w:rsidP="000A7D5B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r w:rsidRPr="004C12AA">
        <w:rPr>
          <w:rFonts w:eastAsiaTheme="minorHAnsi"/>
          <w:sz w:val="28"/>
          <w:szCs w:val="28"/>
          <w:lang w:eastAsia="en-US"/>
        </w:rPr>
        <w:t>первого заместителя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17C98">
        <w:rPr>
          <w:rFonts w:eastAsiaTheme="minorHAnsi"/>
          <w:sz w:val="28"/>
          <w:szCs w:val="28"/>
          <w:lang w:eastAsia="en-US"/>
        </w:rPr>
        <w:t xml:space="preserve">генерального директора И. В. </w:t>
      </w:r>
      <w:r>
        <w:rPr>
          <w:rFonts w:eastAsiaTheme="minorHAnsi"/>
          <w:sz w:val="28"/>
          <w:szCs w:val="28"/>
          <w:lang w:eastAsia="en-US"/>
        </w:rPr>
        <w:t>Редько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0A7D5B" w:rsidRPr="00D17C98" w:rsidRDefault="000A7D5B" w:rsidP="000A7D5B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sz w:val="28"/>
          <w:szCs w:val="28"/>
          <w:lang w:eastAsia="en-US"/>
        </w:rPr>
        <w:t>Докладчик ответил на вопросы членов Совета директоров Общества.</w:t>
      </w:r>
    </w:p>
    <w:p w:rsidR="000A7D5B" w:rsidRDefault="000A7D5B" w:rsidP="000A7D5B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33BDB" w:rsidRPr="007434AE" w:rsidRDefault="00933BDB" w:rsidP="00933BD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34AE">
        <w:rPr>
          <w:rFonts w:eastAsia="Calibri"/>
          <w:sz w:val="28"/>
          <w:szCs w:val="28"/>
          <w:lang w:eastAsia="en-US"/>
        </w:rPr>
        <w:t>1. Принять к сведению Отчет генерального директора Общества о ходе исполнения реестра непрофильных активов АО «</w:t>
      </w:r>
      <w:proofErr w:type="gramStart"/>
      <w:r w:rsidRPr="007434AE">
        <w:rPr>
          <w:rFonts w:eastAsia="Calibri"/>
          <w:sz w:val="28"/>
          <w:szCs w:val="28"/>
          <w:lang w:eastAsia="en-US"/>
        </w:rPr>
        <w:t xml:space="preserve">Янтарьэнерго»   </w:t>
      </w:r>
      <w:proofErr w:type="gramEnd"/>
      <w:r w:rsidRPr="007434AE">
        <w:rPr>
          <w:rFonts w:eastAsia="Calibri"/>
          <w:sz w:val="28"/>
          <w:szCs w:val="28"/>
          <w:lang w:eastAsia="en-US"/>
        </w:rPr>
        <w:t xml:space="preserve">                              за 3 квартал 2018 года </w:t>
      </w:r>
      <w:r w:rsidRPr="007434AE">
        <w:rPr>
          <w:bCs/>
          <w:sz w:val="28"/>
          <w:szCs w:val="28"/>
        </w:rPr>
        <w:t>согласно приложению № 4 к настоящему решению Совета директоров Общества.</w:t>
      </w:r>
    </w:p>
    <w:p w:rsidR="00933BDB" w:rsidRPr="007434AE" w:rsidRDefault="00933BDB" w:rsidP="00933BDB">
      <w:pPr>
        <w:ind w:firstLine="567"/>
        <w:jc w:val="both"/>
        <w:rPr>
          <w:bCs/>
          <w:sz w:val="28"/>
          <w:szCs w:val="28"/>
        </w:rPr>
      </w:pPr>
      <w:r w:rsidRPr="007434AE">
        <w:rPr>
          <w:rFonts w:eastAsia="Calibri"/>
          <w:sz w:val="28"/>
          <w:szCs w:val="28"/>
          <w:lang w:eastAsia="en-US"/>
        </w:rPr>
        <w:t xml:space="preserve">2. Утвердить актуализированный реестр непрофильных активов                            АО «Янтарьэнерго» по состоянию на 30.09.2018 года </w:t>
      </w:r>
      <w:r w:rsidRPr="007434AE">
        <w:rPr>
          <w:bCs/>
          <w:sz w:val="28"/>
          <w:szCs w:val="28"/>
        </w:rPr>
        <w:t>согласно приложению                № 5 к настоящему решению Совета директоров Общества.</w:t>
      </w:r>
    </w:p>
    <w:p w:rsidR="006F2559" w:rsidRDefault="006F2559" w:rsidP="006F255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6F2559" w:rsidRPr="0088629E" w:rsidTr="00247AF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6F2559" w:rsidRPr="0088629E" w:rsidRDefault="006F2559" w:rsidP="00247AF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F2559" w:rsidRPr="0088629E" w:rsidRDefault="006F2559" w:rsidP="00247AF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6F2559" w:rsidRPr="0088629E" w:rsidRDefault="006F2559" w:rsidP="00247AF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6F2559" w:rsidRPr="0088629E" w:rsidTr="00247AF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6F2559" w:rsidRPr="0088629E" w:rsidRDefault="006F2559" w:rsidP="00247AF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6F2559" w:rsidRPr="0088629E" w:rsidRDefault="006F2559" w:rsidP="00247AF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6F2559" w:rsidRPr="0088629E" w:rsidRDefault="006F2559" w:rsidP="00247AF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6F2559" w:rsidRPr="0088629E" w:rsidRDefault="006F2559" w:rsidP="00247AF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6F2559" w:rsidRPr="0088629E" w:rsidTr="00247AFC">
        <w:tc>
          <w:tcPr>
            <w:tcW w:w="4583" w:type="dxa"/>
          </w:tcPr>
          <w:p w:rsidR="006F2559" w:rsidRPr="00621818" w:rsidRDefault="009655AB" w:rsidP="00247AF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6F2559" w:rsidRPr="00EE5B74" w:rsidRDefault="006F2559" w:rsidP="00247AF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6F2559" w:rsidRPr="0088629E" w:rsidTr="00247AFC">
        <w:tc>
          <w:tcPr>
            <w:tcW w:w="4583" w:type="dxa"/>
          </w:tcPr>
          <w:p w:rsidR="006F2559" w:rsidRPr="00621818" w:rsidRDefault="006F2559" w:rsidP="00247AF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559" w:rsidRPr="0088629E" w:rsidTr="00247AFC">
        <w:tc>
          <w:tcPr>
            <w:tcW w:w="4583" w:type="dxa"/>
            <w:tcBorders>
              <w:right w:val="single" w:sz="4" w:space="0" w:color="auto"/>
            </w:tcBorders>
          </w:tcPr>
          <w:p w:rsidR="006F2559" w:rsidRPr="00621818" w:rsidRDefault="009655AB" w:rsidP="00247AF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559" w:rsidRPr="00C66365" w:rsidTr="00247AFC">
        <w:tc>
          <w:tcPr>
            <w:tcW w:w="4583" w:type="dxa"/>
          </w:tcPr>
          <w:p w:rsidR="006F2559" w:rsidRPr="00C66365" w:rsidRDefault="009655AB" w:rsidP="00247AF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F2559" w:rsidRPr="00C6636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559" w:rsidRPr="0088629E" w:rsidTr="00247AFC">
        <w:tc>
          <w:tcPr>
            <w:tcW w:w="4583" w:type="dxa"/>
          </w:tcPr>
          <w:p w:rsidR="006F2559" w:rsidRPr="00621818" w:rsidRDefault="009655AB" w:rsidP="00247A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559" w:rsidRPr="0088629E" w:rsidTr="00247AFC">
        <w:trPr>
          <w:trHeight w:val="310"/>
        </w:trPr>
        <w:tc>
          <w:tcPr>
            <w:tcW w:w="4583" w:type="dxa"/>
          </w:tcPr>
          <w:p w:rsidR="006F2559" w:rsidRPr="00621818" w:rsidRDefault="006F2559" w:rsidP="00247AF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6F2559" w:rsidRPr="00A82295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559" w:rsidRPr="0088629E" w:rsidTr="00247AFC">
        <w:tc>
          <w:tcPr>
            <w:tcW w:w="4583" w:type="dxa"/>
          </w:tcPr>
          <w:p w:rsidR="006F2559" w:rsidRPr="00621818" w:rsidRDefault="006F2559" w:rsidP="00247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6F2559" w:rsidRPr="00EE5B74" w:rsidRDefault="006F2559" w:rsidP="00247AF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A7D5B" w:rsidRDefault="000A7D5B" w:rsidP="000A7D5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E0FE5" w:rsidRDefault="0062730C" w:rsidP="00313C3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313C3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313C3E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1. Принять к сведению Отчет об исполнении бизнес-плана </w:t>
      </w:r>
      <w:r w:rsidRPr="00154EC4">
        <w:rPr>
          <w:bCs/>
          <w:sz w:val="28"/>
          <w:szCs w:val="28"/>
        </w:rPr>
        <w:br/>
        <w:t>АО «Янтарьэнерго» за 1 полугодие 2018 года согласно Приложению № 1 к настоящему решению Совета директоров Общества.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2. Отметить по итогам работы Общества за 1 полугодие 2018 года: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2.1. неисполнение плановых показателей в соответствии с Приложением № 2 к настоящему решению Совета директоров Общества.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2.2. существенное изменение оценки ключевых операционных рисков на 2018 год в соответствии с Приложением № 2 к настоящему решению Совета директоров Общества.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 Поручить Генеральному директору Общества: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3.1. обеспечить безусловное исполнение показателей бизнес-плана по итогам 2018 года, в том числе чистой прибыли по всем видам деятельности.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>3.2. обеспечить реализацию дополнительных мероприятий по недопущению реализации ключевых операционных рисков в 2018 году, а также принять меры по повышению качества планирования, в соответствии с Приложением № 3 к настоящему решению Совета директоров Общества.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3.3. обеспечить контроль за прохождением Директивы представителям интересов Российской Федерации для участия в заседании Совета директоров </w:t>
      </w:r>
      <w:r w:rsidRPr="00154EC4">
        <w:rPr>
          <w:bCs/>
          <w:sz w:val="28"/>
          <w:szCs w:val="28"/>
        </w:rPr>
        <w:lastRenderedPageBreak/>
        <w:t>ПАО «</w:t>
      </w:r>
      <w:proofErr w:type="gramStart"/>
      <w:r w:rsidRPr="00154EC4">
        <w:rPr>
          <w:bCs/>
          <w:sz w:val="28"/>
          <w:szCs w:val="28"/>
        </w:rPr>
        <w:t>Россети»  по</w:t>
      </w:r>
      <w:proofErr w:type="gramEnd"/>
      <w:r w:rsidRPr="00154EC4">
        <w:rPr>
          <w:bCs/>
          <w:sz w:val="28"/>
          <w:szCs w:val="28"/>
        </w:rPr>
        <w:t xml:space="preserve"> вопросу повестки дня </w:t>
      </w:r>
      <w:r w:rsidRPr="00154EC4">
        <w:rPr>
          <w:rFonts w:eastAsia="Calibri"/>
          <w:sz w:val="28"/>
          <w:szCs w:val="28"/>
          <w:lang w:eastAsia="en-US"/>
        </w:rPr>
        <w:t xml:space="preserve">заседания Совета директоров                      ПАО «Россети» </w:t>
      </w:r>
      <w:r w:rsidRPr="00154EC4">
        <w:rPr>
          <w:bCs/>
          <w:sz w:val="28"/>
          <w:szCs w:val="28"/>
        </w:rPr>
        <w:t>«Об участии ПАО «Россети» в АО «Янтарьэнерго».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Срок: постоянно. </w:t>
      </w:r>
    </w:p>
    <w:p w:rsidR="00154EC4" w:rsidRPr="00154EC4" w:rsidRDefault="00154EC4" w:rsidP="00154EC4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4EC4">
        <w:rPr>
          <w:bCs/>
          <w:sz w:val="28"/>
          <w:szCs w:val="28"/>
        </w:rPr>
        <w:t xml:space="preserve">3.4. </w:t>
      </w:r>
      <w:r w:rsidR="00090541">
        <w:rPr>
          <w:bCs/>
          <w:sz w:val="28"/>
          <w:szCs w:val="28"/>
        </w:rPr>
        <w:t>и</w:t>
      </w:r>
      <w:r w:rsidRPr="00154EC4">
        <w:rPr>
          <w:bCs/>
          <w:sz w:val="28"/>
          <w:szCs w:val="28"/>
        </w:rPr>
        <w:t>зучить возможность консолидации на базе АО «Янтарьэнерго» объектов электросетевого хозяйства АО «</w:t>
      </w:r>
      <w:proofErr w:type="spellStart"/>
      <w:r w:rsidRPr="00154EC4">
        <w:rPr>
          <w:bCs/>
          <w:sz w:val="28"/>
          <w:szCs w:val="28"/>
        </w:rPr>
        <w:t>Оборонэнерго</w:t>
      </w:r>
      <w:proofErr w:type="spellEnd"/>
      <w:r w:rsidRPr="00154EC4">
        <w:rPr>
          <w:bCs/>
          <w:sz w:val="28"/>
          <w:szCs w:val="28"/>
        </w:rPr>
        <w:t>», расположенных на территории Калининградской области, с учетом возможности зачета встречных однородных требований по оплате задолженностей.</w:t>
      </w:r>
    </w:p>
    <w:p w:rsidR="000A7D5B" w:rsidRDefault="000A7D5B" w:rsidP="000A7D5B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 решени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7434AE" w:rsidRPr="007434AE" w:rsidRDefault="007434AE" w:rsidP="007434A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34AE">
        <w:rPr>
          <w:rFonts w:eastAsia="Calibri"/>
          <w:sz w:val="28"/>
          <w:szCs w:val="28"/>
          <w:lang w:eastAsia="en-US"/>
        </w:rPr>
        <w:t>1. Принять к сведению Отчет генерального директора Общества о ходе исполнения реестра непрофильных активов АО «</w:t>
      </w:r>
      <w:proofErr w:type="gramStart"/>
      <w:r w:rsidRPr="007434AE">
        <w:rPr>
          <w:rFonts w:eastAsia="Calibri"/>
          <w:sz w:val="28"/>
          <w:szCs w:val="28"/>
          <w:lang w:eastAsia="en-US"/>
        </w:rPr>
        <w:t xml:space="preserve">Янтарьэнерго»   </w:t>
      </w:r>
      <w:proofErr w:type="gramEnd"/>
      <w:r w:rsidRPr="007434AE">
        <w:rPr>
          <w:rFonts w:eastAsia="Calibri"/>
          <w:sz w:val="28"/>
          <w:szCs w:val="28"/>
          <w:lang w:eastAsia="en-US"/>
        </w:rPr>
        <w:t xml:space="preserve">                              за 3 квартал 2018 года </w:t>
      </w:r>
      <w:r w:rsidRPr="007434AE">
        <w:rPr>
          <w:bCs/>
          <w:sz w:val="28"/>
          <w:szCs w:val="28"/>
        </w:rPr>
        <w:t>согласно приложению № 4 к настоящему решению Совета директоров Общества.</w:t>
      </w:r>
    </w:p>
    <w:p w:rsidR="007434AE" w:rsidRPr="007434AE" w:rsidRDefault="007434AE" w:rsidP="007434AE">
      <w:pPr>
        <w:ind w:firstLine="567"/>
        <w:jc w:val="both"/>
        <w:rPr>
          <w:bCs/>
          <w:sz w:val="28"/>
          <w:szCs w:val="28"/>
        </w:rPr>
      </w:pPr>
      <w:r w:rsidRPr="007434AE">
        <w:rPr>
          <w:rFonts w:eastAsia="Calibri"/>
          <w:sz w:val="28"/>
          <w:szCs w:val="28"/>
          <w:lang w:eastAsia="en-US"/>
        </w:rPr>
        <w:t xml:space="preserve">2. Утвердить актуализированный реестр непрофильных активов                            АО «Янтарьэнерго» по состоянию на 30.09.2018 года </w:t>
      </w:r>
      <w:r w:rsidRPr="007434AE">
        <w:rPr>
          <w:bCs/>
          <w:sz w:val="28"/>
          <w:szCs w:val="28"/>
        </w:rPr>
        <w:t>согласно приложению                № 5 к настоящему решению Совета директоров Общества.</w:t>
      </w:r>
    </w:p>
    <w:p w:rsidR="000A7D5B" w:rsidRDefault="000A7D5B" w:rsidP="000A7D5B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A7D5B" w:rsidRDefault="000A7D5B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A7D5B">
        <w:rPr>
          <w:rFonts w:eastAsiaTheme="minorHAnsi"/>
          <w:bCs/>
          <w:color w:val="000000"/>
          <w:sz w:val="28"/>
          <w:szCs w:val="28"/>
          <w:lang w:eastAsia="en-US"/>
        </w:rPr>
        <w:t xml:space="preserve"> 16</w:t>
      </w:r>
      <w:proofErr w:type="gramEnd"/>
      <w:r w:rsidR="000A7D5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A7D5B">
        <w:rPr>
          <w:rFonts w:eastAsiaTheme="minorHAnsi"/>
          <w:bCs/>
          <w:color w:val="000000"/>
          <w:sz w:val="28"/>
          <w:szCs w:val="28"/>
          <w:lang w:eastAsia="en-US"/>
        </w:rPr>
        <w:t xml:space="preserve">ноября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0A7D5B" w:rsidRDefault="000A7D5B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7D200A" w:rsidRDefault="007D200A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9A4E3F" w:rsidRDefault="009A4E3F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9A4E3F" w:rsidRDefault="009A4E3F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7D200A" w:rsidRDefault="007D200A" w:rsidP="000A7D5B">
      <w:pPr>
        <w:jc w:val="both"/>
        <w:rPr>
          <w:rFonts w:eastAsiaTheme="minorHAnsi"/>
          <w:sz w:val="28"/>
          <w:szCs w:val="28"/>
          <w:lang w:eastAsia="en-US"/>
        </w:rPr>
      </w:pPr>
    </w:p>
    <w:p w:rsidR="000A7D5B" w:rsidRPr="0034411F" w:rsidRDefault="000A7D5B" w:rsidP="000A7D5B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sz w:val="28"/>
          <w:szCs w:val="28"/>
        </w:rPr>
        <w:t>И.В. Маковский</w:t>
      </w:r>
      <w:r w:rsidRPr="0034411F">
        <w:rPr>
          <w:sz w:val="28"/>
          <w:szCs w:val="28"/>
        </w:rPr>
        <w:t xml:space="preserve"> </w:t>
      </w:r>
    </w:p>
    <w:p w:rsidR="000A7D5B" w:rsidRPr="00674A73" w:rsidRDefault="000A7D5B" w:rsidP="000A7D5B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0A7D5B" w:rsidRDefault="000A7D5B" w:rsidP="000A7D5B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0A7D5B" w:rsidRDefault="000A7D5B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9A4E3F" w:rsidRDefault="009A4E3F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A7D5B" w:rsidRDefault="000A7D5B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A7D5B" w:rsidRDefault="000A7D5B" w:rsidP="000A7D5B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A7D5B" w:rsidRDefault="000A7D5B" w:rsidP="000A7D5B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p w:rsidR="008643A4" w:rsidRDefault="008643A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8643A4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FAD" w:rsidRDefault="00140FAD" w:rsidP="001D1CEA">
      <w:r>
        <w:separator/>
      </w:r>
    </w:p>
  </w:endnote>
  <w:endnote w:type="continuationSeparator" w:id="0">
    <w:p w:rsidR="00140FAD" w:rsidRDefault="00140FAD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FAD" w:rsidRDefault="00140FAD" w:rsidP="001D1CEA">
      <w:r>
        <w:separator/>
      </w:r>
    </w:p>
  </w:footnote>
  <w:footnote w:type="continuationSeparator" w:id="0">
    <w:p w:rsidR="00140FAD" w:rsidRDefault="00140FAD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AB">
          <w:rPr>
            <w:noProof/>
          </w:rPr>
          <w:t>4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5181"/>
    <w:multiLevelType w:val="hybridMultilevel"/>
    <w:tmpl w:val="2054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79BC"/>
    <w:multiLevelType w:val="hybridMultilevel"/>
    <w:tmpl w:val="3920DDAE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8A1B4F"/>
    <w:multiLevelType w:val="hybridMultilevel"/>
    <w:tmpl w:val="ABA69C0C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62513"/>
    <w:multiLevelType w:val="hybridMultilevel"/>
    <w:tmpl w:val="2C2C0750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526876"/>
    <w:multiLevelType w:val="hybridMultilevel"/>
    <w:tmpl w:val="6A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C321E"/>
    <w:multiLevelType w:val="multilevel"/>
    <w:tmpl w:val="858E2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7B2DCE"/>
    <w:multiLevelType w:val="hybridMultilevel"/>
    <w:tmpl w:val="D66C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0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47722"/>
    <w:multiLevelType w:val="hybridMultilevel"/>
    <w:tmpl w:val="561850EE"/>
    <w:lvl w:ilvl="0" w:tplc="B010F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2"/>
  </w:num>
  <w:num w:numId="3">
    <w:abstractNumId w:val="20"/>
  </w:num>
  <w:num w:numId="4">
    <w:abstractNumId w:val="22"/>
  </w:num>
  <w:num w:numId="5">
    <w:abstractNumId w:val="8"/>
  </w:num>
  <w:num w:numId="6">
    <w:abstractNumId w:val="26"/>
  </w:num>
  <w:num w:numId="7">
    <w:abstractNumId w:val="24"/>
  </w:num>
  <w:num w:numId="8">
    <w:abstractNumId w:val="17"/>
  </w:num>
  <w:num w:numId="9">
    <w:abstractNumId w:val="15"/>
  </w:num>
  <w:num w:numId="10">
    <w:abstractNumId w:val="7"/>
  </w:num>
  <w:num w:numId="11">
    <w:abstractNumId w:val="3"/>
  </w:num>
  <w:num w:numId="12">
    <w:abstractNumId w:val="1"/>
  </w:num>
  <w:num w:numId="13">
    <w:abstractNumId w:val="32"/>
  </w:num>
  <w:num w:numId="14">
    <w:abstractNumId w:val="9"/>
  </w:num>
  <w:num w:numId="15">
    <w:abstractNumId w:val="29"/>
  </w:num>
  <w:num w:numId="16">
    <w:abstractNumId w:val="28"/>
  </w:num>
  <w:num w:numId="17">
    <w:abstractNumId w:val="10"/>
  </w:num>
  <w:num w:numId="18">
    <w:abstractNumId w:val="30"/>
  </w:num>
  <w:num w:numId="19">
    <w:abstractNumId w:val="31"/>
  </w:num>
  <w:num w:numId="20">
    <w:abstractNumId w:val="4"/>
  </w:num>
  <w:num w:numId="21">
    <w:abstractNumId w:val="25"/>
  </w:num>
  <w:num w:numId="22">
    <w:abstractNumId w:val="13"/>
  </w:num>
  <w:num w:numId="23">
    <w:abstractNumId w:val="18"/>
  </w:num>
  <w:num w:numId="24">
    <w:abstractNumId w:val="6"/>
  </w:num>
  <w:num w:numId="25">
    <w:abstractNumId w:val="14"/>
  </w:num>
  <w:num w:numId="26">
    <w:abstractNumId w:val="0"/>
  </w:num>
  <w:num w:numId="27">
    <w:abstractNumId w:val="27"/>
  </w:num>
  <w:num w:numId="28">
    <w:abstractNumId w:val="33"/>
  </w:num>
  <w:num w:numId="29">
    <w:abstractNumId w:val="5"/>
  </w:num>
  <w:num w:numId="30">
    <w:abstractNumId w:val="2"/>
  </w:num>
  <w:num w:numId="31">
    <w:abstractNumId w:val="19"/>
  </w:num>
  <w:num w:numId="32">
    <w:abstractNumId w:val="16"/>
  </w:num>
  <w:num w:numId="33">
    <w:abstractNumId w:val="11"/>
  </w:num>
  <w:num w:numId="3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3760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0541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A7D5B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5B40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1CAB"/>
    <w:rsid w:val="0013251B"/>
    <w:rsid w:val="00134C0D"/>
    <w:rsid w:val="00134E8E"/>
    <w:rsid w:val="00135D9F"/>
    <w:rsid w:val="00140FAD"/>
    <w:rsid w:val="001461FE"/>
    <w:rsid w:val="001462F5"/>
    <w:rsid w:val="0014757E"/>
    <w:rsid w:val="00152715"/>
    <w:rsid w:val="001545BF"/>
    <w:rsid w:val="001545EA"/>
    <w:rsid w:val="00154EC4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93E"/>
    <w:rsid w:val="0027423D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0F7"/>
    <w:rsid w:val="002A629E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0C4"/>
    <w:rsid w:val="002D0F0E"/>
    <w:rsid w:val="002D3056"/>
    <w:rsid w:val="002D3C1F"/>
    <w:rsid w:val="002D656B"/>
    <w:rsid w:val="002D7AA4"/>
    <w:rsid w:val="002E519F"/>
    <w:rsid w:val="002E525D"/>
    <w:rsid w:val="002E579D"/>
    <w:rsid w:val="002E76F2"/>
    <w:rsid w:val="002E7C73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76F"/>
    <w:rsid w:val="00312850"/>
    <w:rsid w:val="0031286F"/>
    <w:rsid w:val="00313C3E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3E4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A653E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2B48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63B5"/>
    <w:rsid w:val="004277FA"/>
    <w:rsid w:val="00427FC7"/>
    <w:rsid w:val="0043357E"/>
    <w:rsid w:val="00434CF2"/>
    <w:rsid w:val="00445045"/>
    <w:rsid w:val="0044707B"/>
    <w:rsid w:val="00447685"/>
    <w:rsid w:val="00453179"/>
    <w:rsid w:val="00455745"/>
    <w:rsid w:val="00456A7B"/>
    <w:rsid w:val="00461C07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762EA"/>
    <w:rsid w:val="00481A0F"/>
    <w:rsid w:val="004839AB"/>
    <w:rsid w:val="00485F39"/>
    <w:rsid w:val="00486344"/>
    <w:rsid w:val="00486834"/>
    <w:rsid w:val="004869A2"/>
    <w:rsid w:val="00487A1A"/>
    <w:rsid w:val="00487EEC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12AA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388A"/>
    <w:rsid w:val="00574BD7"/>
    <w:rsid w:val="005809D1"/>
    <w:rsid w:val="00581C35"/>
    <w:rsid w:val="00583052"/>
    <w:rsid w:val="00585D25"/>
    <w:rsid w:val="00586D7D"/>
    <w:rsid w:val="005900F2"/>
    <w:rsid w:val="00593C3D"/>
    <w:rsid w:val="00595ED5"/>
    <w:rsid w:val="00597E4F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4A24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074A7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6040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255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5A2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34A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3384"/>
    <w:rsid w:val="007C4C81"/>
    <w:rsid w:val="007C751D"/>
    <w:rsid w:val="007D048E"/>
    <w:rsid w:val="007D1DA6"/>
    <w:rsid w:val="007D200A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CA7"/>
    <w:rsid w:val="007F0D17"/>
    <w:rsid w:val="007F1EC9"/>
    <w:rsid w:val="007F60EF"/>
    <w:rsid w:val="007F79FF"/>
    <w:rsid w:val="0080217E"/>
    <w:rsid w:val="0080346B"/>
    <w:rsid w:val="00803CA0"/>
    <w:rsid w:val="00805EDB"/>
    <w:rsid w:val="00807004"/>
    <w:rsid w:val="00811097"/>
    <w:rsid w:val="0081253F"/>
    <w:rsid w:val="00815AD0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144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125C7"/>
    <w:rsid w:val="009145D1"/>
    <w:rsid w:val="0091798B"/>
    <w:rsid w:val="0092186E"/>
    <w:rsid w:val="00922BDD"/>
    <w:rsid w:val="00923778"/>
    <w:rsid w:val="00923BB7"/>
    <w:rsid w:val="00925382"/>
    <w:rsid w:val="00925668"/>
    <w:rsid w:val="00926E29"/>
    <w:rsid w:val="0092749F"/>
    <w:rsid w:val="00930EC6"/>
    <w:rsid w:val="00932228"/>
    <w:rsid w:val="009333DE"/>
    <w:rsid w:val="00933BDB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BCC"/>
    <w:rsid w:val="00960960"/>
    <w:rsid w:val="00964900"/>
    <w:rsid w:val="009655AB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4E3F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E0"/>
    <w:rsid w:val="00A00EFD"/>
    <w:rsid w:val="00A05165"/>
    <w:rsid w:val="00A077BE"/>
    <w:rsid w:val="00A07888"/>
    <w:rsid w:val="00A10322"/>
    <w:rsid w:val="00A13B38"/>
    <w:rsid w:val="00A220FD"/>
    <w:rsid w:val="00A2321E"/>
    <w:rsid w:val="00A25858"/>
    <w:rsid w:val="00A313A5"/>
    <w:rsid w:val="00A324F9"/>
    <w:rsid w:val="00A3379E"/>
    <w:rsid w:val="00A338D9"/>
    <w:rsid w:val="00A342EE"/>
    <w:rsid w:val="00A365C7"/>
    <w:rsid w:val="00A36915"/>
    <w:rsid w:val="00A37681"/>
    <w:rsid w:val="00A3782C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161E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3E31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5BB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4DAA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0752"/>
    <w:rsid w:val="00E42DFE"/>
    <w:rsid w:val="00E43267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55EF"/>
    <w:rsid w:val="00F366AD"/>
    <w:rsid w:val="00F36834"/>
    <w:rsid w:val="00F36CB1"/>
    <w:rsid w:val="00F36F82"/>
    <w:rsid w:val="00F37BE4"/>
    <w:rsid w:val="00F41F43"/>
    <w:rsid w:val="00F42284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08A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0BCD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6E83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40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5F70-74FE-446B-BE36-F4445DDB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38</cp:revision>
  <cp:lastPrinted>2018-11-23T13:22:00Z</cp:lastPrinted>
  <dcterms:created xsi:type="dcterms:W3CDTF">2018-11-16T16:37:00Z</dcterms:created>
  <dcterms:modified xsi:type="dcterms:W3CDTF">2018-11-23T13:24:00Z</dcterms:modified>
</cp:coreProperties>
</file>