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1598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CF5A9E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2D7AA4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6306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16306E">
        <w:rPr>
          <w:rFonts w:eastAsiaTheme="minorHAnsi"/>
          <w:sz w:val="28"/>
          <w:szCs w:val="28"/>
          <w:lang w:eastAsia="en-US"/>
        </w:rPr>
        <w:t>Комаров В. М.</w:t>
      </w:r>
      <w:r w:rsidRPr="0016306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16306E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16306E">
        <w:rPr>
          <w:rFonts w:eastAsiaTheme="minorHAnsi"/>
          <w:sz w:val="28"/>
          <w:szCs w:val="28"/>
          <w:lang w:eastAsia="en-US"/>
        </w:rPr>
        <w:t>Ящерицына Ю. В.</w:t>
      </w:r>
    </w:p>
    <w:p w:rsidR="00F1598E" w:rsidRPr="0016306E" w:rsidRDefault="00F1598E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6306E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F1598E">
        <w:rPr>
          <w:rFonts w:eastAsiaTheme="minorHAnsi"/>
          <w:sz w:val="28"/>
          <w:szCs w:val="28"/>
          <w:lang w:eastAsia="en-US"/>
        </w:rPr>
        <w:t>6</w:t>
      </w:r>
      <w:r w:rsidRPr="0016306E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16306E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5A5A82" w:rsidRDefault="005A5A82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53108" w:rsidRPr="006B451D" w:rsidRDefault="00BE469C" w:rsidP="00CB4AD7">
      <w:pPr>
        <w:pStyle w:val="a7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BE469C">
        <w:rPr>
          <w:sz w:val="28"/>
          <w:szCs w:val="28"/>
        </w:rPr>
        <w:t>Об утверждении кредитного плана АО «Янтарьэнерго» на 3 квартал 2017 года.</w:t>
      </w:r>
    </w:p>
    <w:p w:rsidR="006B451D" w:rsidRPr="006B451D" w:rsidRDefault="006B451D" w:rsidP="00CB4AD7">
      <w:pPr>
        <w:pStyle w:val="a7"/>
        <w:numPr>
          <w:ilvl w:val="0"/>
          <w:numId w:val="1"/>
        </w:numPr>
        <w:ind w:right="-1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B451D">
        <w:rPr>
          <w:rFonts w:eastAsia="Calibri"/>
          <w:bCs/>
          <w:sz w:val="28"/>
          <w:szCs w:val="28"/>
          <w:lang w:eastAsia="en-US"/>
        </w:rPr>
        <w:t>Об   определении позиции представителей Общества по вопросам повесток дня заседаний Советов директоров ДЗО АО «Янтарьэнерго».</w:t>
      </w:r>
    </w:p>
    <w:p w:rsidR="006B451D" w:rsidRPr="006B451D" w:rsidRDefault="006B451D" w:rsidP="00CB4AD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B451D">
        <w:rPr>
          <w:color w:val="000000"/>
          <w:kern w:val="2"/>
          <w:sz w:val="28"/>
          <w:szCs w:val="28"/>
          <w:lang w:eastAsia="ar-SA"/>
        </w:rPr>
        <w:t>О предложении годовому общему собранию акционеров</w:t>
      </w:r>
      <w:r w:rsidR="006D5567">
        <w:rPr>
          <w:color w:val="000000"/>
          <w:kern w:val="2"/>
          <w:sz w:val="28"/>
          <w:szCs w:val="28"/>
          <w:lang w:eastAsia="ar-SA"/>
        </w:rPr>
        <w:t xml:space="preserve"> </w:t>
      </w:r>
      <w:r w:rsidRPr="006B451D">
        <w:rPr>
          <w:color w:val="000000"/>
          <w:kern w:val="2"/>
          <w:sz w:val="28"/>
          <w:szCs w:val="28"/>
          <w:lang w:eastAsia="ar-SA"/>
        </w:rPr>
        <w:t xml:space="preserve">АО «Янтарьэнерго» по принятию решения: </w:t>
      </w:r>
      <w:r w:rsidRPr="006B451D">
        <w:rPr>
          <w:bCs/>
          <w:spacing w:val="-1"/>
          <w:sz w:val="28"/>
          <w:szCs w:val="28"/>
        </w:rPr>
        <w:t>«О прекращении членства Общества в СРО «СОЮЗ «ЭНЕРГОСТРОЙ».</w:t>
      </w:r>
    </w:p>
    <w:p w:rsidR="006B451D" w:rsidRPr="006B451D" w:rsidRDefault="006B451D" w:rsidP="00CB4AD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B451D">
        <w:rPr>
          <w:color w:val="000000"/>
          <w:kern w:val="2"/>
          <w:sz w:val="28"/>
          <w:szCs w:val="28"/>
          <w:lang w:eastAsia="ar-SA"/>
        </w:rPr>
        <w:t xml:space="preserve">О предложении годовому общему собранию </w:t>
      </w:r>
      <w:proofErr w:type="gramStart"/>
      <w:r w:rsidRPr="006B451D">
        <w:rPr>
          <w:color w:val="000000"/>
          <w:kern w:val="2"/>
          <w:sz w:val="28"/>
          <w:szCs w:val="28"/>
          <w:lang w:eastAsia="ar-SA"/>
        </w:rPr>
        <w:t>акционеров  АО</w:t>
      </w:r>
      <w:proofErr w:type="gramEnd"/>
      <w:r w:rsidRPr="006B451D">
        <w:rPr>
          <w:color w:val="000000"/>
          <w:kern w:val="2"/>
          <w:sz w:val="28"/>
          <w:szCs w:val="28"/>
          <w:lang w:eastAsia="ar-SA"/>
        </w:rPr>
        <w:t xml:space="preserve"> «Янтарьэнерго» по принятию решения: «Об участии</w:t>
      </w:r>
      <w:r w:rsidRPr="006B451D">
        <w:rPr>
          <w:bCs/>
          <w:spacing w:val="-1"/>
          <w:sz w:val="28"/>
          <w:szCs w:val="28"/>
        </w:rPr>
        <w:t xml:space="preserve"> Общества в АНП «СРО «ССКО» (Ассоциация Некоммерческое партнерство «Саморегулируемая организация «Строительный союз Калининградской области»).</w:t>
      </w:r>
    </w:p>
    <w:p w:rsidR="006B451D" w:rsidRPr="00BE469C" w:rsidRDefault="006B451D" w:rsidP="006B451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FC6865" w:rsidRPr="001A7642" w:rsidRDefault="0088629E" w:rsidP="00FC686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BE469C" w:rsidRPr="000771EE">
        <w:rPr>
          <w:sz w:val="28"/>
          <w:szCs w:val="28"/>
        </w:rPr>
        <w:t>Об утверждении кредитного плана АО «Янтарьэнерго» на 3 квартал 2017 года.</w:t>
      </w:r>
    </w:p>
    <w:p w:rsidR="005A5A82" w:rsidRDefault="005A5A82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F403B" w:rsidRDefault="0088629E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412F8D"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F1A" w:rsidRPr="00546F1A">
        <w:rPr>
          <w:rFonts w:ascii="Times New Roman" w:hAnsi="Times New Roman" w:cs="Times New Roman"/>
          <w:bCs/>
          <w:sz w:val="28"/>
          <w:szCs w:val="28"/>
        </w:rPr>
        <w:t xml:space="preserve">Утвердить Кредитный план </w:t>
      </w:r>
      <w:r w:rsidR="00F06B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546F1A" w:rsidRPr="00546F1A">
        <w:rPr>
          <w:rFonts w:ascii="Times New Roman" w:hAnsi="Times New Roman" w:cs="Times New Roman"/>
          <w:bCs/>
          <w:sz w:val="28"/>
          <w:szCs w:val="28"/>
        </w:rPr>
        <w:t>АО «Янтарьэнерго» на 3 квартал 2017 года в соответствии с приложением № 1 к настоящему решению Совета директоров Общества.</w:t>
      </w:r>
    </w:p>
    <w:p w:rsidR="00E23123" w:rsidRPr="00821FC6" w:rsidRDefault="00E23123" w:rsidP="00361F13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A82295" w:rsidRDefault="007E3309" w:rsidP="007E3309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6F3FA4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6F3FA4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  <w:bookmarkStart w:id="0" w:name="_GoBack"/>
            <w:bookmarkEnd w:id="0"/>
          </w:p>
        </w:tc>
      </w:tr>
      <w:tr w:rsidR="004055DE" w:rsidRPr="0088629E" w:rsidTr="008615A2">
        <w:trPr>
          <w:trHeight w:val="310"/>
        </w:trPr>
        <w:tc>
          <w:tcPr>
            <w:tcW w:w="4585" w:type="dxa"/>
          </w:tcPr>
          <w:p w:rsidR="004055DE" w:rsidRPr="00A82295" w:rsidRDefault="004055DE" w:rsidP="007E58E3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055DE" w:rsidRPr="00A82295" w:rsidRDefault="004055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B451D" w:rsidRPr="005B5BBF" w:rsidRDefault="00FF13F0" w:rsidP="006B451D">
      <w:pPr>
        <w:ind w:right="-1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B451D" w:rsidRPr="000D243B">
        <w:rPr>
          <w:rFonts w:eastAsia="Calibri"/>
          <w:bCs/>
          <w:sz w:val="28"/>
          <w:szCs w:val="28"/>
          <w:lang w:eastAsia="en-US"/>
        </w:rPr>
        <w:t>Об   определении позиции представителей Общества по вопросам повесток дня заседаний Советов директоров ДЗО АО «Янтарьэнерго».</w:t>
      </w:r>
    </w:p>
    <w:p w:rsidR="00F544D5" w:rsidRDefault="00FF13F0" w:rsidP="00F544D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</w:p>
    <w:p w:rsidR="006B451D" w:rsidRPr="00C94C37" w:rsidRDefault="006B451D" w:rsidP="00CB4AD7">
      <w:pPr>
        <w:numPr>
          <w:ilvl w:val="0"/>
          <w:numId w:val="2"/>
        </w:numPr>
        <w:tabs>
          <w:tab w:val="left" w:pos="993"/>
        </w:tabs>
        <w:contextualSpacing/>
        <w:jc w:val="both"/>
        <w:rPr>
          <w:sz w:val="28"/>
          <w:szCs w:val="28"/>
        </w:rPr>
      </w:pPr>
      <w:r w:rsidRPr="00C94C37">
        <w:rPr>
          <w:sz w:val="28"/>
          <w:szCs w:val="28"/>
        </w:rPr>
        <w:t>Поручить представителям АО «Янтарьэнерго» в Совете директоров ОАО «Янтарьэнергосбыт» по вопросу повестки дня заседания Совета директоров: «</w:t>
      </w:r>
      <w:r w:rsidRPr="00C94C37">
        <w:rPr>
          <w:bCs/>
          <w:sz w:val="28"/>
          <w:szCs w:val="28"/>
          <w:lang w:eastAsia="en-US"/>
        </w:rPr>
        <w:t xml:space="preserve">Об утверждении кандидатур страховых организаций для заключения договоров страхования </w:t>
      </w:r>
      <w:proofErr w:type="gramStart"/>
      <w:r w:rsidRPr="00C94C37">
        <w:rPr>
          <w:bCs/>
          <w:sz w:val="28"/>
          <w:szCs w:val="28"/>
          <w:lang w:eastAsia="en-US"/>
        </w:rPr>
        <w:t>Общества</w:t>
      </w:r>
      <w:r w:rsidRPr="00C94C37">
        <w:rPr>
          <w:rFonts w:eastAsia="Calibri"/>
          <w:iCs/>
          <w:sz w:val="28"/>
          <w:szCs w:val="28"/>
        </w:rPr>
        <w:t>»</w:t>
      </w:r>
      <w:r w:rsidRPr="00C94C37">
        <w:rPr>
          <w:sz w:val="28"/>
          <w:szCs w:val="28"/>
        </w:rPr>
        <w:t xml:space="preserve">   </w:t>
      </w:r>
      <w:proofErr w:type="gramEnd"/>
      <w:r w:rsidRPr="00C94C37">
        <w:rPr>
          <w:sz w:val="28"/>
          <w:szCs w:val="28"/>
        </w:rPr>
        <w:t xml:space="preserve"> голосовать «ЗА» принятие следующего решения:</w:t>
      </w:r>
    </w:p>
    <w:p w:rsidR="006B451D" w:rsidRPr="000D243B" w:rsidRDefault="005A5A82" w:rsidP="006B451D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451D" w:rsidRPr="000D243B">
        <w:rPr>
          <w:sz w:val="28"/>
          <w:szCs w:val="28"/>
        </w:rPr>
        <w:t xml:space="preserve">Утвердить в качестве страховщиков Общества следующие кандидатуры: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18"/>
        <w:gridCol w:w="2977"/>
      </w:tblGrid>
      <w:tr w:rsidR="006B451D" w:rsidRPr="00C94C37" w:rsidTr="00306A50">
        <w:trPr>
          <w:cantSplit/>
          <w:trHeight w:val="804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ind w:firstLine="567"/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6B451D" w:rsidRPr="00C94C37" w:rsidTr="00306A50">
        <w:trPr>
          <w:cantSplit/>
          <w:trHeight w:val="730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bookmarkStart w:id="1" w:name="OLE_LINK10"/>
            <w:bookmarkStart w:id="2" w:name="OLE_LINK9"/>
            <w:r w:rsidRPr="00C94C37">
              <w:rPr>
                <w:bCs/>
                <w:sz w:val="28"/>
                <w:szCs w:val="28"/>
              </w:rPr>
              <w:t>Добровольное страхование от несчастных случаев и болезней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АО «СОГАЗ»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sz w:val="28"/>
                <w:szCs w:val="28"/>
              </w:rPr>
            </w:pPr>
            <w:r w:rsidRPr="00C94C37">
              <w:rPr>
                <w:sz w:val="28"/>
                <w:szCs w:val="28"/>
                <w:lang w:val="en-US"/>
              </w:rPr>
              <w:t>c</w:t>
            </w:r>
            <w:r w:rsidRPr="00C94C37">
              <w:rPr>
                <w:sz w:val="28"/>
                <w:szCs w:val="28"/>
              </w:rPr>
              <w:t xml:space="preserve"> 22.06.2017 по</w:t>
            </w:r>
            <w:r w:rsidRPr="00C94C37">
              <w:rPr>
                <w:sz w:val="28"/>
                <w:szCs w:val="28"/>
                <w:lang w:val="en-US"/>
              </w:rPr>
              <w:t xml:space="preserve"> </w:t>
            </w:r>
            <w:r w:rsidRPr="00C94C37">
              <w:rPr>
                <w:sz w:val="28"/>
                <w:szCs w:val="28"/>
              </w:rPr>
              <w:t>21.06.2018</w:t>
            </w:r>
          </w:p>
        </w:tc>
      </w:tr>
      <w:tr w:rsidR="006B451D" w:rsidRPr="00C94C37" w:rsidTr="00306A50">
        <w:trPr>
          <w:cantSplit/>
          <w:trHeight w:val="730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Страхование имущества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ПАО «САК «ЭНЕРГОГАРАНТ»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sz w:val="28"/>
                <w:szCs w:val="28"/>
              </w:rPr>
            </w:pPr>
            <w:r w:rsidRPr="00C94C37">
              <w:rPr>
                <w:sz w:val="28"/>
                <w:szCs w:val="28"/>
                <w:lang w:val="en-US"/>
              </w:rPr>
              <w:t>c</w:t>
            </w:r>
            <w:r w:rsidRPr="00C94C37">
              <w:rPr>
                <w:sz w:val="28"/>
                <w:szCs w:val="28"/>
              </w:rPr>
              <w:t xml:space="preserve"> 01.08.2017 по</w:t>
            </w:r>
            <w:r w:rsidRPr="00C94C37">
              <w:rPr>
                <w:sz w:val="28"/>
                <w:szCs w:val="28"/>
                <w:lang w:val="en-US"/>
              </w:rPr>
              <w:t xml:space="preserve"> </w:t>
            </w:r>
            <w:r w:rsidRPr="00C94C37">
              <w:rPr>
                <w:sz w:val="28"/>
                <w:szCs w:val="28"/>
              </w:rPr>
              <w:t>31.07.2018</w:t>
            </w:r>
          </w:p>
        </w:tc>
      </w:tr>
      <w:bookmarkEnd w:id="1"/>
      <w:bookmarkEnd w:id="2"/>
    </w:tbl>
    <w:p w:rsidR="006B451D" w:rsidRPr="00C94C37" w:rsidRDefault="006B451D" w:rsidP="006B451D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451D" w:rsidRPr="00C94C37" w:rsidRDefault="006B451D" w:rsidP="00CB4AD7">
      <w:pPr>
        <w:numPr>
          <w:ilvl w:val="0"/>
          <w:numId w:val="2"/>
        </w:numPr>
        <w:tabs>
          <w:tab w:val="left" w:pos="993"/>
        </w:tabs>
        <w:ind w:left="714" w:hanging="357"/>
        <w:contextualSpacing/>
        <w:jc w:val="both"/>
        <w:rPr>
          <w:sz w:val="28"/>
          <w:szCs w:val="28"/>
        </w:rPr>
      </w:pPr>
      <w:r w:rsidRPr="00C94C37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5A5A82">
        <w:rPr>
          <w:sz w:val="28"/>
          <w:szCs w:val="28"/>
        </w:rPr>
        <w:t xml:space="preserve">                            </w:t>
      </w:r>
      <w:r w:rsidRPr="00C94C37">
        <w:rPr>
          <w:sz w:val="28"/>
          <w:szCs w:val="28"/>
        </w:rPr>
        <w:t>ОАО «Калининградская генерирующая компания» по вопросу повестки дня заседания Совета директоров: «Об утверждении кредитного плана                           ОАО «Калининградская генерирующая компания» на 3 квартал 2017 года», голосовать «ЗА» принятие следующего решения:</w:t>
      </w:r>
    </w:p>
    <w:p w:rsidR="006B451D" w:rsidRPr="00C94C37" w:rsidRDefault="006B451D" w:rsidP="006B451D">
      <w:pPr>
        <w:tabs>
          <w:tab w:val="left" w:pos="993"/>
        </w:tabs>
        <w:ind w:left="709" w:firstLine="709"/>
        <w:jc w:val="both"/>
        <w:rPr>
          <w:sz w:val="28"/>
          <w:szCs w:val="28"/>
        </w:rPr>
      </w:pPr>
      <w:r w:rsidRPr="00C94C37">
        <w:rPr>
          <w:sz w:val="28"/>
          <w:szCs w:val="28"/>
        </w:rPr>
        <w:t>Утвердить к</w:t>
      </w:r>
      <w:r w:rsidRPr="00C94C37">
        <w:rPr>
          <w:rFonts w:eastAsia="Calibri"/>
          <w:sz w:val="28"/>
          <w:szCs w:val="28"/>
        </w:rPr>
        <w:t xml:space="preserve">редитный план </w:t>
      </w:r>
      <w:r w:rsidRPr="00C94C37">
        <w:rPr>
          <w:sz w:val="28"/>
          <w:szCs w:val="28"/>
        </w:rPr>
        <w:t xml:space="preserve">ОАО «Калининградская генерирующая компания» </w:t>
      </w:r>
      <w:r w:rsidRPr="00C94C37">
        <w:rPr>
          <w:rFonts w:eastAsia="Calibri"/>
          <w:sz w:val="28"/>
          <w:szCs w:val="28"/>
        </w:rPr>
        <w:t>на 3 квартал 2017 года</w:t>
      </w:r>
      <w:r w:rsidRPr="00C94C37">
        <w:rPr>
          <w:sz w:val="28"/>
          <w:szCs w:val="28"/>
        </w:rPr>
        <w:t xml:space="preserve"> согласно </w:t>
      </w:r>
      <w:proofErr w:type="gramStart"/>
      <w:r w:rsidRPr="00C94C37">
        <w:rPr>
          <w:sz w:val="28"/>
          <w:szCs w:val="28"/>
        </w:rPr>
        <w:t>приложению</w:t>
      </w:r>
      <w:proofErr w:type="gramEnd"/>
      <w:r w:rsidRPr="00C94C37">
        <w:rPr>
          <w:sz w:val="28"/>
          <w:szCs w:val="28"/>
        </w:rPr>
        <w:t xml:space="preserve"> к настоящему решению Совета директоров Общества.</w:t>
      </w:r>
    </w:p>
    <w:p w:rsidR="006B451D" w:rsidRPr="00C94C37" w:rsidRDefault="006B451D" w:rsidP="006B451D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451D" w:rsidRPr="00C94C37" w:rsidRDefault="006B451D" w:rsidP="00CB4AD7">
      <w:pPr>
        <w:numPr>
          <w:ilvl w:val="0"/>
          <w:numId w:val="2"/>
        </w:numPr>
        <w:tabs>
          <w:tab w:val="left" w:pos="993"/>
        </w:tabs>
        <w:ind w:left="714" w:hanging="357"/>
        <w:contextualSpacing/>
        <w:jc w:val="both"/>
        <w:rPr>
          <w:sz w:val="28"/>
          <w:szCs w:val="28"/>
        </w:rPr>
      </w:pPr>
      <w:r w:rsidRPr="00C94C37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3 квартал 2017 года» голосовать «ЗА» принятие следующего решения:</w:t>
      </w:r>
    </w:p>
    <w:p w:rsidR="006B451D" w:rsidRPr="00C94C37" w:rsidRDefault="006B451D" w:rsidP="006B451D">
      <w:pPr>
        <w:tabs>
          <w:tab w:val="left" w:pos="993"/>
        </w:tabs>
        <w:ind w:left="709" w:firstLine="709"/>
        <w:jc w:val="both"/>
        <w:rPr>
          <w:sz w:val="28"/>
          <w:szCs w:val="28"/>
        </w:rPr>
      </w:pPr>
      <w:r w:rsidRPr="00C94C37">
        <w:rPr>
          <w:sz w:val="28"/>
          <w:szCs w:val="28"/>
        </w:rPr>
        <w:lastRenderedPageBreak/>
        <w:t>Утвердить к</w:t>
      </w:r>
      <w:r w:rsidRPr="00491369">
        <w:rPr>
          <w:sz w:val="28"/>
          <w:szCs w:val="28"/>
        </w:rPr>
        <w:t xml:space="preserve">редитный план </w:t>
      </w:r>
      <w:r w:rsidRPr="00C94C37">
        <w:rPr>
          <w:sz w:val="28"/>
          <w:szCs w:val="28"/>
        </w:rPr>
        <w:t xml:space="preserve">ОАО «Янтарьэнергосбыт» </w:t>
      </w:r>
      <w:r w:rsidRPr="00491369">
        <w:rPr>
          <w:sz w:val="28"/>
          <w:szCs w:val="28"/>
        </w:rPr>
        <w:t>на 3 квартал 2017 года</w:t>
      </w:r>
      <w:r w:rsidRPr="00C94C37">
        <w:rPr>
          <w:sz w:val="28"/>
          <w:szCs w:val="28"/>
        </w:rPr>
        <w:t xml:space="preserve"> согласно </w:t>
      </w:r>
      <w:proofErr w:type="gramStart"/>
      <w:r w:rsidRPr="00C94C37">
        <w:rPr>
          <w:sz w:val="28"/>
          <w:szCs w:val="28"/>
        </w:rPr>
        <w:t>приложению</w:t>
      </w:r>
      <w:proofErr w:type="gramEnd"/>
      <w:r w:rsidRPr="00C94C37">
        <w:rPr>
          <w:sz w:val="28"/>
          <w:szCs w:val="28"/>
        </w:rPr>
        <w:t xml:space="preserve"> к настоящему решению Совета директоров Общества.</w:t>
      </w:r>
    </w:p>
    <w:p w:rsidR="004623D5" w:rsidRDefault="004623D5" w:rsidP="004623D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23D5" w:rsidRPr="0088629E" w:rsidTr="00306A5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23D5" w:rsidRPr="0088629E" w:rsidRDefault="004623D5" w:rsidP="00306A5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623D5" w:rsidRPr="0088629E" w:rsidRDefault="004623D5" w:rsidP="00306A5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23D5" w:rsidRPr="0088629E" w:rsidRDefault="004623D5" w:rsidP="00306A5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23D5" w:rsidRPr="0088629E" w:rsidTr="00306A5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23D5" w:rsidRPr="0088629E" w:rsidRDefault="004623D5" w:rsidP="00306A5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23D5" w:rsidRPr="0088629E" w:rsidRDefault="004623D5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23D5" w:rsidRPr="0088629E" w:rsidRDefault="004623D5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23D5" w:rsidRPr="0088629E" w:rsidRDefault="004623D5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23D5" w:rsidRPr="0088629E" w:rsidTr="00306A50">
        <w:tc>
          <w:tcPr>
            <w:tcW w:w="4585" w:type="dxa"/>
          </w:tcPr>
          <w:p w:rsidR="004623D5" w:rsidRPr="00EE5B74" w:rsidRDefault="004623D5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623D5" w:rsidRPr="00EE5B74" w:rsidRDefault="004623D5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23D5" w:rsidRPr="00EE5B74" w:rsidRDefault="004623D5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23D5" w:rsidRPr="00EE5B74" w:rsidRDefault="004623D5" w:rsidP="00306A5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23D5" w:rsidRPr="0088629E" w:rsidTr="00306A50">
        <w:tc>
          <w:tcPr>
            <w:tcW w:w="4585" w:type="dxa"/>
          </w:tcPr>
          <w:p w:rsidR="004623D5" w:rsidRPr="00EE5B74" w:rsidRDefault="004623D5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23D5" w:rsidRPr="0088629E" w:rsidTr="00306A50">
        <w:tc>
          <w:tcPr>
            <w:tcW w:w="4585" w:type="dxa"/>
            <w:tcBorders>
              <w:right w:val="single" w:sz="4" w:space="0" w:color="auto"/>
            </w:tcBorders>
          </w:tcPr>
          <w:p w:rsidR="004623D5" w:rsidRPr="00EE5B74" w:rsidRDefault="004623D5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23D5" w:rsidRPr="0088629E" w:rsidTr="00306A50">
        <w:tc>
          <w:tcPr>
            <w:tcW w:w="4585" w:type="dxa"/>
          </w:tcPr>
          <w:p w:rsidR="004623D5" w:rsidRPr="00EE5B74" w:rsidRDefault="004623D5" w:rsidP="00306A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23D5" w:rsidRPr="0088629E" w:rsidTr="00306A50">
        <w:tc>
          <w:tcPr>
            <w:tcW w:w="4585" w:type="dxa"/>
          </w:tcPr>
          <w:p w:rsidR="004623D5" w:rsidRPr="00A82295" w:rsidRDefault="004623D5" w:rsidP="00306A50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23D5" w:rsidRPr="00A82295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23D5" w:rsidRPr="00A82295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23D5" w:rsidRPr="00A82295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23D5" w:rsidRPr="0088629E" w:rsidTr="00306A50">
        <w:trPr>
          <w:trHeight w:val="310"/>
        </w:trPr>
        <w:tc>
          <w:tcPr>
            <w:tcW w:w="4585" w:type="dxa"/>
          </w:tcPr>
          <w:p w:rsidR="004623D5" w:rsidRPr="00A82295" w:rsidRDefault="004623D5" w:rsidP="00306A50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623D5" w:rsidRPr="00A82295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4623D5" w:rsidRPr="0088629E" w:rsidTr="00306A50">
        <w:tc>
          <w:tcPr>
            <w:tcW w:w="4585" w:type="dxa"/>
          </w:tcPr>
          <w:p w:rsidR="004623D5" w:rsidRPr="00EE5B74" w:rsidRDefault="004623D5" w:rsidP="0030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23D5" w:rsidRPr="00EE5B74" w:rsidRDefault="004623D5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23D5" w:rsidRDefault="004623D5" w:rsidP="004623D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148DE" w:rsidRDefault="00F148DE" w:rsidP="00D47E4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B451D" w:rsidRPr="00894506" w:rsidRDefault="00D47E4D" w:rsidP="006B451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148DE">
        <w:rPr>
          <w:rFonts w:eastAsiaTheme="minorHAnsi"/>
          <w:b/>
          <w:sz w:val="28"/>
          <w:szCs w:val="28"/>
          <w:lang w:eastAsia="en-US"/>
        </w:rPr>
        <w:t>3:</w:t>
      </w:r>
      <w:r w:rsidRPr="00875A0B">
        <w:rPr>
          <w:sz w:val="28"/>
          <w:szCs w:val="28"/>
        </w:rPr>
        <w:t xml:space="preserve"> </w:t>
      </w:r>
      <w:r w:rsidR="006B451D" w:rsidRPr="00894506">
        <w:rPr>
          <w:color w:val="000000"/>
          <w:kern w:val="2"/>
          <w:sz w:val="28"/>
          <w:szCs w:val="28"/>
          <w:lang w:eastAsia="ar-SA"/>
        </w:rPr>
        <w:t xml:space="preserve">О предложении годовому общему собранию акционеров  </w:t>
      </w:r>
      <w:r w:rsidR="006F3FA4">
        <w:rPr>
          <w:color w:val="000000"/>
          <w:kern w:val="2"/>
          <w:sz w:val="28"/>
          <w:szCs w:val="28"/>
          <w:lang w:eastAsia="ar-SA"/>
        </w:rPr>
        <w:t xml:space="preserve">                                        </w:t>
      </w:r>
      <w:r w:rsidR="006B451D" w:rsidRPr="00894506">
        <w:rPr>
          <w:color w:val="000000"/>
          <w:kern w:val="2"/>
          <w:sz w:val="28"/>
          <w:szCs w:val="28"/>
          <w:lang w:eastAsia="ar-SA"/>
        </w:rPr>
        <w:t xml:space="preserve">АО «Янтарьэнерго» по принятию решения: </w:t>
      </w:r>
      <w:r w:rsidR="006B451D" w:rsidRPr="00894506">
        <w:rPr>
          <w:bCs/>
          <w:spacing w:val="-1"/>
          <w:sz w:val="28"/>
          <w:szCs w:val="28"/>
        </w:rPr>
        <w:t>«О прекращении членства Общества в СРО «СОЮЗ «ЭНЕРГОСТРОЙ».</w:t>
      </w:r>
    </w:p>
    <w:p w:rsidR="006B451D" w:rsidRPr="00BB7328" w:rsidRDefault="00D47E4D" w:rsidP="006B451D">
      <w:pPr>
        <w:jc w:val="both"/>
        <w:rPr>
          <w:rFonts w:eastAsia="Calibri"/>
          <w:sz w:val="28"/>
          <w:szCs w:val="28"/>
          <w:lang w:eastAsia="en-US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6B451D" w:rsidRPr="00BB7328">
        <w:rPr>
          <w:rFonts w:eastAsia="SimSun"/>
          <w:bCs/>
          <w:kern w:val="2"/>
          <w:sz w:val="28"/>
          <w:szCs w:val="28"/>
        </w:rPr>
        <w:t>Предложить годовому Общему собранию акционеров АО «Янтарьэнерго»</w:t>
      </w:r>
      <w:r w:rsidR="006B451D" w:rsidRPr="00BB7328">
        <w:rPr>
          <w:sz w:val="28"/>
          <w:szCs w:val="28"/>
        </w:rPr>
        <w:t xml:space="preserve"> </w:t>
      </w:r>
      <w:proofErr w:type="gramStart"/>
      <w:r w:rsidR="006B451D" w:rsidRPr="00BB7328">
        <w:rPr>
          <w:sz w:val="28"/>
          <w:szCs w:val="28"/>
        </w:rPr>
        <w:t>одобрить  прекращение</w:t>
      </w:r>
      <w:proofErr w:type="gramEnd"/>
      <w:r w:rsidR="006B451D" w:rsidRPr="00BB7328">
        <w:rPr>
          <w:sz w:val="28"/>
          <w:szCs w:val="28"/>
        </w:rPr>
        <w:t xml:space="preserve"> участия Общества в СРО «СОЮЗ «ЭНЕРГОСТРОЙ».</w:t>
      </w:r>
    </w:p>
    <w:p w:rsidR="00D47E4D" w:rsidRDefault="00D47E4D" w:rsidP="00D47E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47E4D" w:rsidRPr="0088629E" w:rsidTr="00306A5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47E4D" w:rsidRPr="0088629E" w:rsidRDefault="00D47E4D" w:rsidP="00306A5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47E4D" w:rsidRPr="0088629E" w:rsidRDefault="00D47E4D" w:rsidP="00306A5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47E4D" w:rsidRPr="0088629E" w:rsidRDefault="00D47E4D" w:rsidP="00306A5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47E4D" w:rsidRPr="0088629E" w:rsidTr="00306A5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47E4D" w:rsidRPr="0088629E" w:rsidRDefault="00D47E4D" w:rsidP="00306A5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47E4D" w:rsidRPr="0088629E" w:rsidRDefault="00D47E4D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47E4D" w:rsidRPr="0088629E" w:rsidRDefault="00D47E4D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47E4D" w:rsidRPr="0088629E" w:rsidRDefault="00D47E4D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47E4D" w:rsidRPr="00EE5B74" w:rsidRDefault="00D47E4D" w:rsidP="00306A5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c>
          <w:tcPr>
            <w:tcW w:w="4585" w:type="dxa"/>
            <w:tcBorders>
              <w:right w:val="single" w:sz="4" w:space="0" w:color="auto"/>
            </w:tcBorders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A82295" w:rsidRDefault="00D47E4D" w:rsidP="00306A50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rPr>
          <w:trHeight w:val="310"/>
        </w:trPr>
        <w:tc>
          <w:tcPr>
            <w:tcW w:w="4585" w:type="dxa"/>
          </w:tcPr>
          <w:p w:rsidR="00D47E4D" w:rsidRPr="00A82295" w:rsidRDefault="00D47E4D" w:rsidP="00306A50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47E4D" w:rsidRDefault="00D47E4D" w:rsidP="00D47E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47E4D" w:rsidRDefault="00D47E4D" w:rsidP="00D47E4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B451D" w:rsidRPr="00894506" w:rsidRDefault="00D47E4D" w:rsidP="006B451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148DE"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B451D" w:rsidRPr="00894506">
        <w:rPr>
          <w:color w:val="000000"/>
          <w:kern w:val="2"/>
          <w:sz w:val="28"/>
          <w:szCs w:val="28"/>
          <w:lang w:eastAsia="ar-SA"/>
        </w:rPr>
        <w:t>О предложении годовому общему собранию акционеров                           АО «Янтарьэнерго» по принятию решения: «Об участии</w:t>
      </w:r>
      <w:r w:rsidR="006B451D" w:rsidRPr="00894506">
        <w:rPr>
          <w:bCs/>
          <w:spacing w:val="-1"/>
          <w:sz w:val="28"/>
          <w:szCs w:val="28"/>
        </w:rPr>
        <w:t xml:space="preserve"> Общества в АНП «СРО «ССКО» (Ассоциация Некоммерческое партнерство «Саморегулируемая организация «Строительный союз Калининградской области»).</w:t>
      </w:r>
    </w:p>
    <w:p w:rsidR="00D47E4D" w:rsidRDefault="00D47E4D" w:rsidP="00D47E4D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6B451D" w:rsidRPr="00BB7328" w:rsidRDefault="006B451D" w:rsidP="006B451D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BB7328">
        <w:rPr>
          <w:rFonts w:eastAsia="SimSun"/>
          <w:bCs/>
          <w:kern w:val="1"/>
          <w:sz w:val="28"/>
          <w:szCs w:val="28"/>
        </w:rPr>
        <w:t xml:space="preserve">Предложить годовому Общему собранию </w:t>
      </w:r>
      <w:proofErr w:type="gramStart"/>
      <w:r w:rsidRPr="00BB7328">
        <w:rPr>
          <w:rFonts w:eastAsia="SimSun"/>
          <w:bCs/>
          <w:kern w:val="1"/>
          <w:sz w:val="28"/>
          <w:szCs w:val="28"/>
        </w:rPr>
        <w:t>акционеров  АО</w:t>
      </w:r>
      <w:proofErr w:type="gramEnd"/>
      <w:r w:rsidRPr="00BB7328">
        <w:rPr>
          <w:rFonts w:eastAsia="SimSun"/>
          <w:bCs/>
          <w:kern w:val="1"/>
          <w:sz w:val="28"/>
          <w:szCs w:val="28"/>
        </w:rPr>
        <w:t xml:space="preserve"> «Янтарьэнерго»</w:t>
      </w:r>
      <w:r w:rsidRPr="00BB7328">
        <w:rPr>
          <w:sz w:val="28"/>
          <w:szCs w:val="28"/>
        </w:rPr>
        <w:t xml:space="preserve"> одобрить участие Общества в Строительном союзе «Ассоциация Некоммерческое партнерство «Саморегулируемая организация «Строительный союз Калининградской области»</w:t>
      </w:r>
      <w:r w:rsidRPr="00BB7328">
        <w:rPr>
          <w:rFonts w:eastAsia="SimSun"/>
          <w:bCs/>
          <w:sz w:val="28"/>
          <w:szCs w:val="28"/>
        </w:rPr>
        <w:t xml:space="preserve"> (далее - </w:t>
      </w:r>
      <w:r w:rsidRPr="00BB7328">
        <w:rPr>
          <w:sz w:val="28"/>
          <w:szCs w:val="28"/>
        </w:rPr>
        <w:t xml:space="preserve">АНП «СРО «ССКО») </w:t>
      </w:r>
      <w:r w:rsidRPr="00BB7328">
        <w:rPr>
          <w:rFonts w:eastAsia="SimSun"/>
          <w:bCs/>
          <w:sz w:val="28"/>
          <w:szCs w:val="28"/>
        </w:rPr>
        <w:t>на следующих условиях:</w:t>
      </w:r>
      <w:r w:rsidRPr="00BB7328">
        <w:rPr>
          <w:sz w:val="28"/>
          <w:szCs w:val="28"/>
        </w:rPr>
        <w:t xml:space="preserve"> 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размер регулярного членского взноса в квартал составляет 16 250 (шестнадцать тысяч двести пятьдесят)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lastRenderedPageBreak/>
        <w:t>размер вступительного взноса составляет 30 000 (тридцать тысяч)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минимальный размер взноса в Компенсационный фонд возмещения вреда зависит от уровня ответственности (стоимости одного договора на осуществление строительства) и на момент вступления составляет для Общества 100 000 (сто тысяч)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минимальный размер взноса в Компенсационный фонд обеспечения договорных обязательств зависит от уровня ответственности (размера обязательств по договорам строительного подряда) и на момент вступления составляет для Общества 200 000 (Двести тысяч)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изменение минимального размера взносов в Компенсационный фонд возмещения вреда и Компенсационный фонд обеспечения договорных обязательств производится в соответствии с внутренними документами АНП «СРО «ССКО»;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форма оплаты взносов – денежные средства;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порядок и сроки оплаты указанных взносов определяются внутренними документами АНП «СРО «ССКО»;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BB7328">
        <w:rPr>
          <w:sz w:val="28"/>
          <w:szCs w:val="28"/>
        </w:rPr>
        <w:t>размеры указанных взносов в дальнейшем могут быть изменены на основании решений Общего собрания членов АНП «СРО «ССКО».</w:t>
      </w:r>
    </w:p>
    <w:p w:rsidR="00D47E4D" w:rsidRDefault="00D47E4D" w:rsidP="00D47E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47E4D" w:rsidRPr="0088629E" w:rsidTr="00306A5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47E4D" w:rsidRPr="0088629E" w:rsidRDefault="00D47E4D" w:rsidP="00306A5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47E4D" w:rsidRPr="0088629E" w:rsidRDefault="00D47E4D" w:rsidP="00306A5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47E4D" w:rsidRPr="0088629E" w:rsidRDefault="00D47E4D" w:rsidP="00306A5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47E4D" w:rsidRPr="0088629E" w:rsidTr="00306A5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47E4D" w:rsidRPr="0088629E" w:rsidRDefault="00D47E4D" w:rsidP="00306A5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47E4D" w:rsidRPr="0088629E" w:rsidRDefault="00D47E4D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47E4D" w:rsidRPr="0088629E" w:rsidRDefault="00D47E4D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47E4D" w:rsidRPr="0088629E" w:rsidRDefault="00D47E4D" w:rsidP="00306A5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47E4D" w:rsidRPr="00EE5B74" w:rsidRDefault="00D47E4D" w:rsidP="00306A5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c>
          <w:tcPr>
            <w:tcW w:w="4585" w:type="dxa"/>
            <w:tcBorders>
              <w:right w:val="single" w:sz="4" w:space="0" w:color="auto"/>
            </w:tcBorders>
          </w:tcPr>
          <w:p w:rsidR="00D47E4D" w:rsidRPr="00EE5B74" w:rsidRDefault="00D47E4D" w:rsidP="00306A5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A82295" w:rsidRDefault="00D47E4D" w:rsidP="00306A50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7E4D" w:rsidRPr="0088629E" w:rsidTr="00306A50">
        <w:trPr>
          <w:trHeight w:val="310"/>
        </w:trPr>
        <w:tc>
          <w:tcPr>
            <w:tcW w:w="4585" w:type="dxa"/>
          </w:tcPr>
          <w:p w:rsidR="00D47E4D" w:rsidRPr="00A82295" w:rsidRDefault="00D47E4D" w:rsidP="00306A50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D47E4D" w:rsidRPr="00A82295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47E4D" w:rsidRPr="0088629E" w:rsidTr="00306A50">
        <w:tc>
          <w:tcPr>
            <w:tcW w:w="4585" w:type="dxa"/>
          </w:tcPr>
          <w:p w:rsidR="00D47E4D" w:rsidRPr="00EE5B74" w:rsidRDefault="00D47E4D" w:rsidP="0030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47E4D" w:rsidRPr="00EE5B74" w:rsidRDefault="00D47E4D" w:rsidP="00306A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47E4D" w:rsidRDefault="00D47E4D" w:rsidP="00D47E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361F13" w:rsidRDefault="00FF13F0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037EC"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6F1A" w:rsidRPr="00546F1A">
        <w:rPr>
          <w:rFonts w:ascii="Times New Roman" w:hAnsi="Times New Roman" w:cs="Times New Roman"/>
          <w:bCs/>
          <w:sz w:val="28"/>
          <w:szCs w:val="28"/>
        </w:rPr>
        <w:t>Утвердить Кредитный план АО «Янтарьэнерго» на 3 квартал 2017 года в соответствии с приложением № 1 к настоящему решению Совета директоров Общества.</w:t>
      </w:r>
    </w:p>
    <w:p w:rsidR="006F3FA4" w:rsidRDefault="006F3FA4" w:rsidP="00B17B4E">
      <w:pPr>
        <w:widowControl w:val="0"/>
        <w:tabs>
          <w:tab w:val="left" w:pos="993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D0F0E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6B451D" w:rsidRPr="00C94C37" w:rsidRDefault="006B451D" w:rsidP="00CB4AD7">
      <w:pPr>
        <w:numPr>
          <w:ilvl w:val="0"/>
          <w:numId w:val="3"/>
        </w:numPr>
        <w:tabs>
          <w:tab w:val="left" w:pos="993"/>
        </w:tabs>
        <w:contextualSpacing/>
        <w:jc w:val="both"/>
        <w:rPr>
          <w:sz w:val="28"/>
          <w:szCs w:val="28"/>
        </w:rPr>
      </w:pPr>
      <w:r w:rsidRPr="00C94C37">
        <w:rPr>
          <w:sz w:val="28"/>
          <w:szCs w:val="28"/>
        </w:rPr>
        <w:t>Поручить представителям АО «Янтарьэнерго» в Совете директоров ОАО «Янтарьэнергосбыт» по вопросу повестки дня заседания Совета директоров: «</w:t>
      </w:r>
      <w:r w:rsidRPr="00C94C37">
        <w:rPr>
          <w:bCs/>
          <w:sz w:val="28"/>
          <w:szCs w:val="28"/>
          <w:lang w:eastAsia="en-US"/>
        </w:rPr>
        <w:t xml:space="preserve">Об утверждении кандидатур страховых организаций для заключения договоров страхования </w:t>
      </w:r>
      <w:proofErr w:type="gramStart"/>
      <w:r w:rsidRPr="00C94C37">
        <w:rPr>
          <w:bCs/>
          <w:sz w:val="28"/>
          <w:szCs w:val="28"/>
          <w:lang w:eastAsia="en-US"/>
        </w:rPr>
        <w:t>Общества</w:t>
      </w:r>
      <w:r w:rsidRPr="00C94C37">
        <w:rPr>
          <w:rFonts w:eastAsia="Calibri"/>
          <w:iCs/>
          <w:sz w:val="28"/>
          <w:szCs w:val="28"/>
        </w:rPr>
        <w:t>»</w:t>
      </w:r>
      <w:r w:rsidRPr="00C94C37">
        <w:rPr>
          <w:sz w:val="28"/>
          <w:szCs w:val="28"/>
        </w:rPr>
        <w:t xml:space="preserve">   </w:t>
      </w:r>
      <w:proofErr w:type="gramEnd"/>
      <w:r w:rsidRPr="00C94C37">
        <w:rPr>
          <w:sz w:val="28"/>
          <w:szCs w:val="28"/>
        </w:rPr>
        <w:t xml:space="preserve"> голосовать «ЗА» принятие следующего решения:</w:t>
      </w:r>
    </w:p>
    <w:p w:rsidR="006B451D" w:rsidRPr="000D243B" w:rsidRDefault="006B451D" w:rsidP="006B451D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0D243B">
        <w:rPr>
          <w:sz w:val="28"/>
          <w:szCs w:val="28"/>
        </w:rPr>
        <w:t xml:space="preserve">Утвердить в качестве страховщиков Общества следующие кандидатуры: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18"/>
        <w:gridCol w:w="2977"/>
      </w:tblGrid>
      <w:tr w:rsidR="006B451D" w:rsidRPr="00C94C37" w:rsidTr="00306A50">
        <w:trPr>
          <w:cantSplit/>
          <w:trHeight w:val="804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ind w:firstLine="567"/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lastRenderedPageBreak/>
              <w:t>Вид страхования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6B451D" w:rsidRPr="00C94C37" w:rsidTr="00306A50">
        <w:trPr>
          <w:cantSplit/>
          <w:trHeight w:val="730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Добровольное страхование от несчастных случаев и болезней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АО «СОГАЗ»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sz w:val="28"/>
                <w:szCs w:val="28"/>
              </w:rPr>
            </w:pPr>
            <w:r w:rsidRPr="00C94C37">
              <w:rPr>
                <w:sz w:val="28"/>
                <w:szCs w:val="28"/>
                <w:lang w:val="en-US"/>
              </w:rPr>
              <w:t>c</w:t>
            </w:r>
            <w:r w:rsidRPr="00C94C37">
              <w:rPr>
                <w:sz w:val="28"/>
                <w:szCs w:val="28"/>
              </w:rPr>
              <w:t xml:space="preserve"> 22.06.2017 по</w:t>
            </w:r>
            <w:r w:rsidRPr="00C94C37">
              <w:rPr>
                <w:sz w:val="28"/>
                <w:szCs w:val="28"/>
                <w:lang w:val="en-US"/>
              </w:rPr>
              <w:t xml:space="preserve"> </w:t>
            </w:r>
            <w:r w:rsidRPr="00C94C37">
              <w:rPr>
                <w:sz w:val="28"/>
                <w:szCs w:val="28"/>
              </w:rPr>
              <w:t>21.06.2018</w:t>
            </w:r>
          </w:p>
        </w:tc>
      </w:tr>
      <w:tr w:rsidR="006B451D" w:rsidRPr="00C94C37" w:rsidTr="00306A50">
        <w:trPr>
          <w:cantSplit/>
          <w:trHeight w:val="730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Страхование имущества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bCs/>
                <w:sz w:val="28"/>
                <w:szCs w:val="28"/>
              </w:rPr>
            </w:pPr>
            <w:r w:rsidRPr="00C94C37">
              <w:rPr>
                <w:bCs/>
                <w:sz w:val="28"/>
                <w:szCs w:val="28"/>
              </w:rPr>
              <w:t>ПАО «САК «ЭНЕРГОГАРАНТ»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51D" w:rsidRPr="00C94C37" w:rsidRDefault="006B451D" w:rsidP="00306A50">
            <w:pPr>
              <w:jc w:val="center"/>
              <w:rPr>
                <w:sz w:val="28"/>
                <w:szCs w:val="28"/>
              </w:rPr>
            </w:pPr>
            <w:r w:rsidRPr="00C94C37">
              <w:rPr>
                <w:sz w:val="28"/>
                <w:szCs w:val="28"/>
                <w:lang w:val="en-US"/>
              </w:rPr>
              <w:t>c</w:t>
            </w:r>
            <w:r w:rsidRPr="00C94C37">
              <w:rPr>
                <w:sz w:val="28"/>
                <w:szCs w:val="28"/>
              </w:rPr>
              <w:t xml:space="preserve"> 01.08.2017 по</w:t>
            </w:r>
            <w:r w:rsidRPr="00C94C37">
              <w:rPr>
                <w:sz w:val="28"/>
                <w:szCs w:val="28"/>
                <w:lang w:val="en-US"/>
              </w:rPr>
              <w:t xml:space="preserve"> </w:t>
            </w:r>
            <w:r w:rsidRPr="00C94C37">
              <w:rPr>
                <w:sz w:val="28"/>
                <w:szCs w:val="28"/>
              </w:rPr>
              <w:t>31.07.2018</w:t>
            </w:r>
          </w:p>
        </w:tc>
      </w:tr>
    </w:tbl>
    <w:p w:rsidR="006B451D" w:rsidRPr="00C94C37" w:rsidRDefault="006B451D" w:rsidP="006B451D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451D" w:rsidRPr="00C94C37" w:rsidRDefault="006B451D" w:rsidP="00CB4AD7">
      <w:pPr>
        <w:numPr>
          <w:ilvl w:val="0"/>
          <w:numId w:val="3"/>
        </w:numPr>
        <w:tabs>
          <w:tab w:val="left" w:pos="993"/>
        </w:tabs>
        <w:ind w:left="714" w:hanging="357"/>
        <w:contextualSpacing/>
        <w:jc w:val="both"/>
        <w:rPr>
          <w:sz w:val="28"/>
          <w:szCs w:val="28"/>
        </w:rPr>
      </w:pPr>
      <w:r w:rsidRPr="00C94C37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6F3FA4">
        <w:rPr>
          <w:sz w:val="28"/>
          <w:szCs w:val="28"/>
        </w:rPr>
        <w:t xml:space="preserve">                             </w:t>
      </w:r>
      <w:r w:rsidRPr="00C94C37">
        <w:rPr>
          <w:sz w:val="28"/>
          <w:szCs w:val="28"/>
        </w:rPr>
        <w:t>ОАО «Калининградская генерирующая компания» по вопросу повестки дня заседания Совета директоров: «Об утверждении кредитного плана                           ОАО «Калининградская генерирующая компания» на 3 квартал 2017 года», голосовать «ЗА» принятие следующего решения:</w:t>
      </w:r>
    </w:p>
    <w:p w:rsidR="006B451D" w:rsidRPr="00C94C37" w:rsidRDefault="006B451D" w:rsidP="006B451D">
      <w:pPr>
        <w:tabs>
          <w:tab w:val="left" w:pos="993"/>
        </w:tabs>
        <w:ind w:left="709" w:firstLine="709"/>
        <w:jc w:val="both"/>
        <w:rPr>
          <w:sz w:val="28"/>
          <w:szCs w:val="28"/>
        </w:rPr>
      </w:pPr>
      <w:r w:rsidRPr="00C94C37">
        <w:rPr>
          <w:sz w:val="28"/>
          <w:szCs w:val="28"/>
        </w:rPr>
        <w:t>Утвердить к</w:t>
      </w:r>
      <w:r w:rsidRPr="00C94C37">
        <w:rPr>
          <w:rFonts w:eastAsia="Calibri"/>
          <w:sz w:val="28"/>
          <w:szCs w:val="28"/>
        </w:rPr>
        <w:t xml:space="preserve">редитный план </w:t>
      </w:r>
      <w:r w:rsidRPr="00C94C37">
        <w:rPr>
          <w:sz w:val="28"/>
          <w:szCs w:val="28"/>
        </w:rPr>
        <w:t xml:space="preserve">ОАО «Калининградская генерирующая компания» </w:t>
      </w:r>
      <w:r w:rsidRPr="00C94C37">
        <w:rPr>
          <w:rFonts w:eastAsia="Calibri"/>
          <w:sz w:val="28"/>
          <w:szCs w:val="28"/>
        </w:rPr>
        <w:t>на 3 квартал 2017 года</w:t>
      </w:r>
      <w:r w:rsidRPr="00C94C37">
        <w:rPr>
          <w:sz w:val="28"/>
          <w:szCs w:val="28"/>
        </w:rPr>
        <w:t xml:space="preserve"> согласно </w:t>
      </w:r>
      <w:proofErr w:type="gramStart"/>
      <w:r w:rsidRPr="00C94C37">
        <w:rPr>
          <w:sz w:val="28"/>
          <w:szCs w:val="28"/>
        </w:rPr>
        <w:t>приложению</w:t>
      </w:r>
      <w:proofErr w:type="gramEnd"/>
      <w:r w:rsidRPr="00C94C37">
        <w:rPr>
          <w:sz w:val="28"/>
          <w:szCs w:val="28"/>
        </w:rPr>
        <w:t xml:space="preserve"> к настоящему решению Совета директоров Общества.</w:t>
      </w:r>
    </w:p>
    <w:p w:rsidR="006B451D" w:rsidRPr="00C94C37" w:rsidRDefault="006B451D" w:rsidP="006B451D">
      <w:pPr>
        <w:shd w:val="clear" w:color="auto" w:fill="FFFFFF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451D" w:rsidRPr="00C94C37" w:rsidRDefault="006B451D" w:rsidP="00CB4AD7">
      <w:pPr>
        <w:numPr>
          <w:ilvl w:val="0"/>
          <w:numId w:val="3"/>
        </w:numPr>
        <w:tabs>
          <w:tab w:val="left" w:pos="993"/>
        </w:tabs>
        <w:ind w:left="714" w:hanging="357"/>
        <w:contextualSpacing/>
        <w:jc w:val="both"/>
        <w:rPr>
          <w:sz w:val="28"/>
          <w:szCs w:val="28"/>
        </w:rPr>
      </w:pPr>
      <w:r w:rsidRPr="00C94C37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3 квартал 2017 года» голосовать «ЗА» принятие следующего решения:</w:t>
      </w:r>
    </w:p>
    <w:p w:rsidR="006B451D" w:rsidRPr="00C94C37" w:rsidRDefault="006B451D" w:rsidP="006B451D">
      <w:pPr>
        <w:tabs>
          <w:tab w:val="left" w:pos="993"/>
        </w:tabs>
        <w:ind w:left="709" w:firstLine="709"/>
        <w:jc w:val="both"/>
        <w:rPr>
          <w:sz w:val="28"/>
          <w:szCs w:val="28"/>
        </w:rPr>
      </w:pPr>
      <w:r w:rsidRPr="00C94C37">
        <w:rPr>
          <w:sz w:val="28"/>
          <w:szCs w:val="28"/>
        </w:rPr>
        <w:t>Утвердить к</w:t>
      </w:r>
      <w:r w:rsidRPr="00491369">
        <w:rPr>
          <w:sz w:val="28"/>
          <w:szCs w:val="28"/>
        </w:rPr>
        <w:t xml:space="preserve">редитный план </w:t>
      </w:r>
      <w:r w:rsidRPr="00C94C37">
        <w:rPr>
          <w:sz w:val="28"/>
          <w:szCs w:val="28"/>
        </w:rPr>
        <w:t xml:space="preserve">ОАО «Янтарьэнергосбыт» </w:t>
      </w:r>
      <w:r w:rsidRPr="00491369">
        <w:rPr>
          <w:sz w:val="28"/>
          <w:szCs w:val="28"/>
        </w:rPr>
        <w:t>на 3 квартал 2017 года</w:t>
      </w:r>
      <w:r w:rsidRPr="00C94C37">
        <w:rPr>
          <w:sz w:val="28"/>
          <w:szCs w:val="28"/>
        </w:rPr>
        <w:t xml:space="preserve"> согласно </w:t>
      </w:r>
      <w:proofErr w:type="gramStart"/>
      <w:r w:rsidRPr="00C94C37">
        <w:rPr>
          <w:sz w:val="28"/>
          <w:szCs w:val="28"/>
        </w:rPr>
        <w:t>приложению</w:t>
      </w:r>
      <w:proofErr w:type="gramEnd"/>
      <w:r w:rsidRPr="00C94C37">
        <w:rPr>
          <w:sz w:val="28"/>
          <w:szCs w:val="28"/>
        </w:rPr>
        <w:t xml:space="preserve"> к настоящему решению Совета директоров Общества.</w:t>
      </w:r>
    </w:p>
    <w:p w:rsidR="006B451D" w:rsidRDefault="006B451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B451D" w:rsidRPr="00BB7328" w:rsidRDefault="004055DE" w:rsidP="006B451D">
      <w:pPr>
        <w:jc w:val="both"/>
        <w:rPr>
          <w:rFonts w:eastAsia="Calibri"/>
          <w:sz w:val="28"/>
          <w:szCs w:val="28"/>
          <w:lang w:eastAsia="en-US"/>
        </w:rPr>
      </w:pPr>
      <w:r w:rsidRPr="009F403B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6B451D" w:rsidRPr="00BB7328">
        <w:rPr>
          <w:rFonts w:eastAsia="SimSun"/>
          <w:bCs/>
          <w:kern w:val="2"/>
          <w:sz w:val="28"/>
          <w:szCs w:val="28"/>
        </w:rPr>
        <w:t>Предложить годовому Общему собранию акционеров АО «Янтарьэнерго»</w:t>
      </w:r>
      <w:r w:rsidR="006B451D" w:rsidRPr="00BB7328">
        <w:rPr>
          <w:sz w:val="28"/>
          <w:szCs w:val="28"/>
        </w:rPr>
        <w:t xml:space="preserve"> </w:t>
      </w:r>
      <w:proofErr w:type="gramStart"/>
      <w:r w:rsidR="006B451D" w:rsidRPr="00BB7328">
        <w:rPr>
          <w:sz w:val="28"/>
          <w:szCs w:val="28"/>
        </w:rPr>
        <w:t>одобрить  прекращение</w:t>
      </w:r>
      <w:proofErr w:type="gramEnd"/>
      <w:r w:rsidR="006B451D" w:rsidRPr="00BB7328">
        <w:rPr>
          <w:sz w:val="28"/>
          <w:szCs w:val="28"/>
        </w:rPr>
        <w:t xml:space="preserve"> участия Общества в СРО «СОЮЗ «ЭНЕРГОСТРОЙ».</w:t>
      </w:r>
    </w:p>
    <w:p w:rsidR="004055DE" w:rsidRDefault="004055DE" w:rsidP="004055DE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55DE" w:rsidRDefault="004055DE" w:rsidP="004055D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6B451D" w:rsidRPr="00BB7328" w:rsidRDefault="006B451D" w:rsidP="006B451D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BB7328">
        <w:rPr>
          <w:rFonts w:eastAsia="SimSun"/>
          <w:bCs/>
          <w:kern w:val="1"/>
          <w:sz w:val="28"/>
          <w:szCs w:val="28"/>
        </w:rPr>
        <w:t xml:space="preserve">Предложить годовому Общему собранию </w:t>
      </w:r>
      <w:proofErr w:type="gramStart"/>
      <w:r w:rsidRPr="00BB7328">
        <w:rPr>
          <w:rFonts w:eastAsia="SimSun"/>
          <w:bCs/>
          <w:kern w:val="1"/>
          <w:sz w:val="28"/>
          <w:szCs w:val="28"/>
        </w:rPr>
        <w:t>акционеров  АО</w:t>
      </w:r>
      <w:proofErr w:type="gramEnd"/>
      <w:r w:rsidRPr="00BB7328">
        <w:rPr>
          <w:rFonts w:eastAsia="SimSun"/>
          <w:bCs/>
          <w:kern w:val="1"/>
          <w:sz w:val="28"/>
          <w:szCs w:val="28"/>
        </w:rPr>
        <w:t xml:space="preserve"> «Янтарьэнерго»</w:t>
      </w:r>
      <w:r w:rsidRPr="00BB7328">
        <w:rPr>
          <w:sz w:val="28"/>
          <w:szCs w:val="28"/>
        </w:rPr>
        <w:t xml:space="preserve"> одобрить участие Общества в Строительном союзе «Ассоциация Некоммерческое партнерство «Саморегулируемая организация «Строительный союз Калининградской области»</w:t>
      </w:r>
      <w:r w:rsidRPr="00BB7328">
        <w:rPr>
          <w:rFonts w:eastAsia="SimSun"/>
          <w:bCs/>
          <w:sz w:val="28"/>
          <w:szCs w:val="28"/>
        </w:rPr>
        <w:t xml:space="preserve"> (далее - </w:t>
      </w:r>
      <w:r w:rsidRPr="00BB7328">
        <w:rPr>
          <w:sz w:val="28"/>
          <w:szCs w:val="28"/>
        </w:rPr>
        <w:t xml:space="preserve">АНП «СРО «ССКО») </w:t>
      </w:r>
      <w:r w:rsidRPr="00BB7328">
        <w:rPr>
          <w:rFonts w:eastAsia="SimSun"/>
          <w:bCs/>
          <w:sz w:val="28"/>
          <w:szCs w:val="28"/>
        </w:rPr>
        <w:t>на следующих условиях:</w:t>
      </w:r>
      <w:r w:rsidRPr="00BB7328">
        <w:rPr>
          <w:sz w:val="28"/>
          <w:szCs w:val="28"/>
        </w:rPr>
        <w:t xml:space="preserve"> 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размер регулярного членского взноса в квартал составляет 16 250 (шестнадцать тысяч двести пятьдесят)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размер вступительного взноса составляет 30 000 (тридцать тысяч)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минимальный размер взноса в Компенсационный фонд возмещения вреда зависит от уровня ответственности (стоимости одного договора на осуществление строительства) и на момент вступления составляет для Общества 100 000 (сто тысяч)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 xml:space="preserve">минимальный размер взноса в Компенсационный фонд обеспечения договорных обязательств зависит от уровня ответственности (размера обязательств по </w:t>
      </w:r>
      <w:r w:rsidRPr="00BB7328">
        <w:rPr>
          <w:sz w:val="28"/>
          <w:szCs w:val="28"/>
        </w:rPr>
        <w:lastRenderedPageBreak/>
        <w:t>договорам строительного подряда) и на момент вступления составляет для Общества 200 000 (Двести тысяч) рублей;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изменение минимального размера взносов в Компенсационный фонд возмещения вреда и Компенсационный фонд обеспечения договорных обязательств производится в соответствии с внутренними документами АНП «СРО «ССКО»;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форма оплаты взносов – денежные средства;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sz w:val="28"/>
          <w:szCs w:val="28"/>
        </w:rPr>
      </w:pPr>
      <w:r w:rsidRPr="00BB7328">
        <w:rPr>
          <w:sz w:val="28"/>
          <w:szCs w:val="28"/>
        </w:rPr>
        <w:t>порядок и сроки оплаты указанных взносов определяются внутренними документами АНП «СРО «ССКО»;</w:t>
      </w:r>
    </w:p>
    <w:p w:rsidR="006B451D" w:rsidRPr="00BB7328" w:rsidRDefault="006B451D" w:rsidP="00CB4AD7">
      <w:pPr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BB7328">
        <w:rPr>
          <w:sz w:val="28"/>
          <w:szCs w:val="28"/>
        </w:rPr>
        <w:t>размеры указанных взносов в дальнейшем могут быть изменены на основании решений Общего собрания членов АНП «СРО «ССКО».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A66142">
        <w:rPr>
          <w:rFonts w:eastAsiaTheme="minorHAnsi"/>
          <w:bCs/>
          <w:color w:val="000000"/>
          <w:sz w:val="28"/>
          <w:szCs w:val="28"/>
          <w:lang w:eastAsia="en-US"/>
        </w:rPr>
        <w:t>22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5EDB">
        <w:rPr>
          <w:rFonts w:eastAsiaTheme="minorHAnsi"/>
          <w:bCs/>
          <w:color w:val="000000"/>
          <w:sz w:val="28"/>
          <w:szCs w:val="28"/>
          <w:lang w:eastAsia="en-US"/>
        </w:rPr>
        <w:t>июня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23123" w:rsidRDefault="00E2312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D7" w:rsidRDefault="00CB4AD7" w:rsidP="001D1CEA">
      <w:r>
        <w:separator/>
      </w:r>
    </w:p>
  </w:endnote>
  <w:endnote w:type="continuationSeparator" w:id="0">
    <w:p w:rsidR="00CB4AD7" w:rsidRDefault="00CB4AD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D7" w:rsidRDefault="00CB4AD7" w:rsidP="001D1CEA">
      <w:r>
        <w:separator/>
      </w:r>
    </w:p>
  </w:footnote>
  <w:footnote w:type="continuationSeparator" w:id="0">
    <w:p w:rsidR="00CB4AD7" w:rsidRDefault="00CB4AD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A4">
          <w:rPr>
            <w:noProof/>
          </w:rPr>
          <w:t>6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6C42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4E8E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A6767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23D5"/>
    <w:rsid w:val="0046352A"/>
    <w:rsid w:val="004637CC"/>
    <w:rsid w:val="00464051"/>
    <w:rsid w:val="00471792"/>
    <w:rsid w:val="00472F00"/>
    <w:rsid w:val="00474343"/>
    <w:rsid w:val="00474E7B"/>
    <w:rsid w:val="00481A0F"/>
    <w:rsid w:val="004839AB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608F"/>
    <w:rsid w:val="004B79E7"/>
    <w:rsid w:val="004D2916"/>
    <w:rsid w:val="004E0ED0"/>
    <w:rsid w:val="004E11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1ABC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280A"/>
    <w:rsid w:val="007D6676"/>
    <w:rsid w:val="007E1DC7"/>
    <w:rsid w:val="007E3309"/>
    <w:rsid w:val="007E52D2"/>
    <w:rsid w:val="007E58E3"/>
    <w:rsid w:val="007E6198"/>
    <w:rsid w:val="007E6510"/>
    <w:rsid w:val="007E6FA4"/>
    <w:rsid w:val="007F60EF"/>
    <w:rsid w:val="007F79FF"/>
    <w:rsid w:val="0080346B"/>
    <w:rsid w:val="00803CA0"/>
    <w:rsid w:val="00805ED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66142"/>
    <w:rsid w:val="00A7486B"/>
    <w:rsid w:val="00A748F0"/>
    <w:rsid w:val="00A763C4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2BCA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06395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7C39"/>
    <w:rsid w:val="00BD7C57"/>
    <w:rsid w:val="00BD7D02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4AD7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66CF"/>
    <w:rsid w:val="00D110A2"/>
    <w:rsid w:val="00D117EF"/>
    <w:rsid w:val="00D1181C"/>
    <w:rsid w:val="00D132A9"/>
    <w:rsid w:val="00D1619F"/>
    <w:rsid w:val="00D17432"/>
    <w:rsid w:val="00D23534"/>
    <w:rsid w:val="00D26359"/>
    <w:rsid w:val="00D26C74"/>
    <w:rsid w:val="00D27A5F"/>
    <w:rsid w:val="00D30DC8"/>
    <w:rsid w:val="00D333CA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13E9"/>
    <w:rsid w:val="00E32128"/>
    <w:rsid w:val="00E35830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164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5634"/>
    <w:rsid w:val="00EF7B3B"/>
    <w:rsid w:val="00F02025"/>
    <w:rsid w:val="00F040D3"/>
    <w:rsid w:val="00F06B46"/>
    <w:rsid w:val="00F072B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C7"/>
    <w:rsid w:val="00F7022F"/>
    <w:rsid w:val="00F71BDF"/>
    <w:rsid w:val="00F73FA1"/>
    <w:rsid w:val="00F75537"/>
    <w:rsid w:val="00F75B8E"/>
    <w:rsid w:val="00F808F2"/>
    <w:rsid w:val="00F86DE6"/>
    <w:rsid w:val="00F87723"/>
    <w:rsid w:val="00F92A51"/>
    <w:rsid w:val="00F944A8"/>
    <w:rsid w:val="00F94C27"/>
    <w:rsid w:val="00FA1FC6"/>
    <w:rsid w:val="00FA468A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DF0C-CE37-4743-9C38-B69775B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501</cp:revision>
  <cp:lastPrinted>2016-11-18T11:50:00Z</cp:lastPrinted>
  <dcterms:created xsi:type="dcterms:W3CDTF">2016-06-07T09:14:00Z</dcterms:created>
  <dcterms:modified xsi:type="dcterms:W3CDTF">2017-06-22T11:58:00Z</dcterms:modified>
</cp:coreProperties>
</file>