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7148B1" w:rsidRPr="007148B1" w:rsidRDefault="00B802C4" w:rsidP="00D818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381483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</w:t>
            </w:r>
            <w:r w:rsidR="001D34B7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»: Нежилое</w:t>
            </w:r>
            <w:r w:rsidR="00BE141D" w:rsidRPr="00BE141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BE141D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BE141D">
              <w:rPr>
                <w:rFonts w:ascii="Times New Roman" w:hAnsi="Times New Roman"/>
              </w:rPr>
      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6D38A5" w:rsidP="00D818EC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11 300 000,00</w:t>
            </w:r>
            <w:r w:rsidR="00D818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818EC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13A9E">
              <w:rPr>
                <w:rFonts w:ascii="Times New Roman" w:hAnsi="Times New Roman"/>
              </w:rPr>
              <w:t xml:space="preserve"> НДС</w:t>
            </w:r>
            <w:proofErr w:type="gramEnd"/>
            <w:r w:rsidR="00A13A9E">
              <w:rPr>
                <w:rFonts w:ascii="Times New Roman" w:hAnsi="Times New Roman"/>
              </w:rPr>
              <w:t xml:space="preserve">. 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BE141D" w:rsidP="006D38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141D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6D38A5">
              <w:rPr>
                <w:rFonts w:ascii="Times New Roman" w:hAnsi="Times New Roman"/>
                <w:bCs/>
              </w:rPr>
              <w:t xml:space="preserve">113 000,00 </w:t>
            </w:r>
            <w:r w:rsidRPr="00BE141D">
              <w:rPr>
                <w:rFonts w:ascii="Times New Roman" w:hAnsi="Times New Roman"/>
                <w:bCs/>
              </w:rPr>
              <w:t>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D818EC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818EC">
              <w:rPr>
                <w:rFonts w:ascii="Times New Roman" w:hAnsi="Times New Roman"/>
                <w:i/>
                <w:color w:val="000000" w:themeColor="text1"/>
              </w:rPr>
              <w:t>04.12.</w:t>
            </w:r>
            <w:r w:rsidR="00381483">
              <w:rPr>
                <w:rFonts w:ascii="Times New Roman" w:hAnsi="Times New Roman"/>
                <w:i/>
                <w:color w:val="000000" w:themeColor="text1"/>
              </w:rPr>
              <w:t>2017г.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0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D818EC">
              <w:rPr>
                <w:rFonts w:ascii="Times New Roman" w:hAnsi="Times New Roman"/>
                <w:color w:val="000000" w:themeColor="text1"/>
              </w:rPr>
              <w:t>15.01.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</w:t>
            </w:r>
            <w:r w:rsidR="00D818EC">
              <w:rPr>
                <w:rFonts w:ascii="Times New Roman" w:hAnsi="Times New Roman"/>
                <w:color w:val="000000" w:themeColor="text1"/>
              </w:rPr>
              <w:t>8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6F569C">
              <w:rPr>
                <w:rFonts w:ascii="Times New Roman" w:hAnsi="Times New Roman"/>
                <w:color w:val="000000" w:themeColor="text1"/>
              </w:rPr>
              <w:t>8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D818EC">
              <w:rPr>
                <w:rFonts w:ascii="Times New Roman" w:hAnsi="Times New Roman"/>
                <w:color w:val="000000" w:themeColor="text1"/>
              </w:rPr>
              <w:t>17.01.2018г.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6D38A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6D38A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6D38A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6D38A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6D38A5">
              <w:rPr>
                <w:rFonts w:ascii="Times New Roman" w:hAnsi="Times New Roman"/>
              </w:rPr>
              <w:t xml:space="preserve"> </w:t>
            </w:r>
            <w:r w:rsidR="00D818EC">
              <w:rPr>
                <w:rFonts w:ascii="Times New Roman" w:hAnsi="Times New Roman"/>
              </w:rPr>
              <w:t>19.01.2018г.</w:t>
            </w:r>
            <w:proofErr w:type="gramEnd"/>
            <w:r w:rsidR="00663364" w:rsidRPr="006D38A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 w:rsidRPr="006D38A5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6D38A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6D38A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D818EC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6D38A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6D38A5">
              <w:rPr>
                <w:rFonts w:ascii="Times New Roman" w:hAnsi="Times New Roman"/>
              </w:rPr>
              <w:t xml:space="preserve"> </w:t>
            </w:r>
            <w:r w:rsidR="00D818EC">
              <w:rPr>
                <w:rFonts w:ascii="Times New Roman" w:hAnsi="Times New Roman"/>
              </w:rPr>
              <w:t>19.01.2018г.</w:t>
            </w:r>
            <w:bookmarkStart w:id="1" w:name="_GoBack"/>
            <w:bookmarkEnd w:id="1"/>
            <w:r w:rsidR="00BE1FCA" w:rsidRPr="006D38A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6D38A5">
              <w:rPr>
                <w:rFonts w:ascii="Times New Roman" w:hAnsi="Times New Roman"/>
                <w:color w:val="000000" w:themeColor="text1"/>
              </w:rPr>
              <w:t>1</w:t>
            </w:r>
            <w:r w:rsidR="004B55DE" w:rsidRPr="006D38A5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6D38A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6D38A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  <w:r w:rsidRPr="00885A80">
        <w:rPr>
          <w:rFonts w:ascii="Times New Roman" w:hAnsi="Times New Roman"/>
          <w:sz w:val="18"/>
          <w:szCs w:val="18"/>
        </w:rPr>
        <w:t xml:space="preserve"> </w:t>
      </w:r>
    </w:p>
    <w:sectPr w:rsidR="00D13669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34C48"/>
    <w:rsid w:val="0013567F"/>
    <w:rsid w:val="001450BA"/>
    <w:rsid w:val="00151507"/>
    <w:rsid w:val="001825A1"/>
    <w:rsid w:val="0018434E"/>
    <w:rsid w:val="00186C94"/>
    <w:rsid w:val="001C50AA"/>
    <w:rsid w:val="001D34B7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400C2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25726"/>
    <w:rsid w:val="00631EDD"/>
    <w:rsid w:val="006430FE"/>
    <w:rsid w:val="00654166"/>
    <w:rsid w:val="00663364"/>
    <w:rsid w:val="006672DF"/>
    <w:rsid w:val="00693868"/>
    <w:rsid w:val="006B08DA"/>
    <w:rsid w:val="006D38A5"/>
    <w:rsid w:val="006E0211"/>
    <w:rsid w:val="006F569C"/>
    <w:rsid w:val="0071316B"/>
    <w:rsid w:val="007148B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B4F09"/>
    <w:rsid w:val="009D5B83"/>
    <w:rsid w:val="00A13A9E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67DEF"/>
    <w:rsid w:val="00D818EC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9EE2-07F5-4D8D-ABD0-51622114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44</cp:revision>
  <cp:lastPrinted>2017-01-25T09:45:00Z</cp:lastPrinted>
  <dcterms:created xsi:type="dcterms:W3CDTF">2016-11-23T07:29:00Z</dcterms:created>
  <dcterms:modified xsi:type="dcterms:W3CDTF">2017-12-04T07:34:00Z</dcterms:modified>
</cp:coreProperties>
</file>